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268" w:rsidRPr="00B5003E" w:rsidRDefault="00980268" w:rsidP="00B5003E">
      <w:pPr>
        <w:rPr>
          <w:sz w:val="24"/>
          <w:szCs w:val="24"/>
        </w:rPr>
      </w:pPr>
      <w:bookmarkStart w:id="0" w:name="page1"/>
      <w:bookmarkEnd w:id="0"/>
    </w:p>
    <w:p w:rsidR="00980268" w:rsidRPr="00B5003E" w:rsidRDefault="00FC0D86" w:rsidP="00B5003E">
      <w:pPr>
        <w:jc w:val="center"/>
        <w:rPr>
          <w:b/>
          <w:sz w:val="28"/>
          <w:szCs w:val="28"/>
        </w:rPr>
      </w:pPr>
      <w:r w:rsidRPr="00B5003E">
        <w:rPr>
          <w:rFonts w:eastAsia="Arial Unicode MS"/>
          <w:b/>
          <w:bCs/>
          <w:sz w:val="28"/>
          <w:szCs w:val="28"/>
        </w:rPr>
        <w:t xml:space="preserve">Influence </w:t>
      </w:r>
      <w:r w:rsidRPr="00B5003E">
        <w:rPr>
          <w:rFonts w:eastAsia="Arial Unicode MS"/>
          <w:b/>
          <w:bCs/>
          <w:i/>
          <w:iCs/>
          <w:sz w:val="28"/>
          <w:szCs w:val="28"/>
        </w:rPr>
        <w:t xml:space="preserve">Current Ratio, Debt </w:t>
      </w:r>
      <w:proofErr w:type="gramStart"/>
      <w:r w:rsidRPr="00B5003E">
        <w:rPr>
          <w:rFonts w:eastAsia="Arial Unicode MS"/>
          <w:b/>
          <w:bCs/>
          <w:i/>
          <w:iCs/>
          <w:sz w:val="28"/>
          <w:szCs w:val="28"/>
        </w:rPr>
        <w:t>To</w:t>
      </w:r>
      <w:proofErr w:type="gramEnd"/>
      <w:r w:rsidRPr="00B5003E">
        <w:rPr>
          <w:rFonts w:eastAsia="Arial Unicode MS"/>
          <w:b/>
          <w:bCs/>
          <w:i/>
          <w:iCs/>
          <w:sz w:val="28"/>
          <w:szCs w:val="28"/>
        </w:rPr>
        <w:t xml:space="preserve"> Equity Ratio</w:t>
      </w:r>
      <w:r w:rsidRPr="00B5003E">
        <w:rPr>
          <w:rFonts w:eastAsia="Arial Unicode MS"/>
          <w:b/>
          <w:bCs/>
          <w:sz w:val="28"/>
          <w:szCs w:val="28"/>
        </w:rPr>
        <w:t xml:space="preserve"> And </w:t>
      </w:r>
      <w:r w:rsidRPr="00B5003E">
        <w:rPr>
          <w:rFonts w:eastAsia="Arial Unicode MS"/>
          <w:b/>
          <w:bCs/>
          <w:i/>
          <w:iCs/>
          <w:sz w:val="28"/>
          <w:szCs w:val="28"/>
        </w:rPr>
        <w:t>Total Asset Turnover</w:t>
      </w:r>
      <w:r w:rsidR="00B5003E">
        <w:rPr>
          <w:b/>
          <w:sz w:val="28"/>
          <w:szCs w:val="28"/>
        </w:rPr>
        <w:t xml:space="preserve"> </w:t>
      </w:r>
      <w:r w:rsidRPr="00B5003E">
        <w:rPr>
          <w:rFonts w:eastAsia="Arial Unicode MS"/>
          <w:b/>
          <w:bCs/>
          <w:sz w:val="28"/>
          <w:szCs w:val="28"/>
        </w:rPr>
        <w:t xml:space="preserve">To </w:t>
      </w:r>
      <w:r w:rsidRPr="00B5003E">
        <w:rPr>
          <w:rFonts w:eastAsia="Arial Unicode MS"/>
          <w:b/>
          <w:bCs/>
          <w:i/>
          <w:iCs/>
          <w:sz w:val="28"/>
          <w:szCs w:val="28"/>
        </w:rPr>
        <w:t xml:space="preserve">Return On </w:t>
      </w:r>
      <w:proofErr w:type="spellStart"/>
      <w:r w:rsidRPr="00B5003E">
        <w:rPr>
          <w:rFonts w:eastAsia="Arial Unicode MS"/>
          <w:b/>
          <w:bCs/>
          <w:i/>
          <w:iCs/>
          <w:sz w:val="28"/>
          <w:szCs w:val="28"/>
        </w:rPr>
        <w:t>Equity</w:t>
      </w:r>
      <w:r w:rsidRPr="00B5003E">
        <w:rPr>
          <w:rFonts w:eastAsia="Arial Unicode MS"/>
          <w:b/>
          <w:bCs/>
          <w:sz w:val="28"/>
          <w:szCs w:val="28"/>
        </w:rPr>
        <w:t>In</w:t>
      </w:r>
      <w:proofErr w:type="spellEnd"/>
      <w:r w:rsidRPr="00B5003E">
        <w:rPr>
          <w:rFonts w:eastAsia="Arial Unicode MS"/>
          <w:b/>
          <w:bCs/>
          <w:sz w:val="28"/>
          <w:szCs w:val="28"/>
        </w:rPr>
        <w:t xml:space="preserve"> the Transportation Sector Company</w:t>
      </w:r>
      <w:r w:rsidR="00B5003E">
        <w:rPr>
          <w:b/>
          <w:sz w:val="28"/>
          <w:szCs w:val="28"/>
        </w:rPr>
        <w:t xml:space="preserve"> </w:t>
      </w:r>
      <w:r w:rsidRPr="00B5003E">
        <w:rPr>
          <w:rFonts w:eastAsia="Arial Unicode MS"/>
          <w:b/>
          <w:bCs/>
          <w:sz w:val="28"/>
          <w:szCs w:val="28"/>
        </w:rPr>
        <w:t>Listed on the Indonesia Stock Exchange</w:t>
      </w:r>
    </w:p>
    <w:p w:rsidR="00B5003E" w:rsidRDefault="00B5003E" w:rsidP="00B5003E">
      <w:pPr>
        <w:ind w:right="-59"/>
        <w:rPr>
          <w:b/>
          <w:sz w:val="28"/>
          <w:szCs w:val="28"/>
        </w:rPr>
      </w:pPr>
    </w:p>
    <w:p w:rsidR="00980268" w:rsidRPr="00B5003E" w:rsidRDefault="00B5003E" w:rsidP="00000088">
      <w:pPr>
        <w:ind w:right="-59"/>
        <w:jc w:val="center"/>
        <w:rPr>
          <w:b/>
          <w:sz w:val="24"/>
          <w:szCs w:val="24"/>
        </w:rPr>
      </w:pPr>
      <w:proofErr w:type="spellStart"/>
      <w:r w:rsidRPr="00B5003E">
        <w:rPr>
          <w:rFonts w:eastAsia="Arial Unicode MS"/>
          <w:b/>
          <w:bCs/>
          <w:sz w:val="24"/>
          <w:szCs w:val="24"/>
        </w:rPr>
        <w:t>Qahfi</w:t>
      </w:r>
      <w:proofErr w:type="spellEnd"/>
      <w:r w:rsidRPr="00B5003E">
        <w:rPr>
          <w:rFonts w:eastAsia="Arial Unicode MS"/>
          <w:b/>
          <w:bCs/>
          <w:sz w:val="24"/>
          <w:szCs w:val="24"/>
        </w:rPr>
        <w:t xml:space="preserve"> </w:t>
      </w:r>
      <w:proofErr w:type="spellStart"/>
      <w:r w:rsidRPr="00B5003E">
        <w:rPr>
          <w:rFonts w:eastAsia="Arial Unicode MS"/>
          <w:b/>
          <w:bCs/>
          <w:sz w:val="24"/>
          <w:szCs w:val="24"/>
        </w:rPr>
        <w:t>Romula</w:t>
      </w:r>
      <w:proofErr w:type="spellEnd"/>
      <w:r w:rsidRPr="00B5003E">
        <w:rPr>
          <w:rFonts w:eastAsia="Arial Unicode MS"/>
          <w:b/>
          <w:bCs/>
          <w:sz w:val="24"/>
          <w:szCs w:val="24"/>
        </w:rPr>
        <w:t xml:space="preserve"> Siregar</w:t>
      </w:r>
      <w:r w:rsidRPr="00B5003E">
        <w:rPr>
          <w:rFonts w:eastAsia="Arial Unicode MS"/>
          <w:b/>
          <w:bCs/>
          <w:sz w:val="24"/>
          <w:szCs w:val="24"/>
          <w:vertAlign w:val="superscript"/>
        </w:rPr>
        <w:t>1</w:t>
      </w:r>
      <w:r>
        <w:rPr>
          <w:b/>
          <w:sz w:val="24"/>
          <w:szCs w:val="24"/>
        </w:rPr>
        <w:t xml:space="preserve">, </w:t>
      </w:r>
      <w:r w:rsidR="00FC0D86" w:rsidRPr="00B5003E">
        <w:rPr>
          <w:rFonts w:eastAsia="Arial Unicode MS"/>
          <w:b/>
          <w:bCs/>
          <w:sz w:val="24"/>
          <w:szCs w:val="24"/>
        </w:rPr>
        <w:t>DefiDesvitaHarahap</w:t>
      </w:r>
      <w:r w:rsidRPr="00B5003E">
        <w:rPr>
          <w:rFonts w:eastAsia="Arial Unicode MS"/>
          <w:b/>
          <w:bCs/>
          <w:sz w:val="24"/>
          <w:szCs w:val="24"/>
          <w:vertAlign w:val="superscript"/>
        </w:rPr>
        <w:t>2</w:t>
      </w:r>
      <w:proofErr w:type="gramStart"/>
      <w:r>
        <w:rPr>
          <w:b/>
          <w:sz w:val="24"/>
          <w:szCs w:val="24"/>
        </w:rPr>
        <w:t xml:space="preserve">,  </w:t>
      </w:r>
      <w:proofErr w:type="spellStart"/>
      <w:r>
        <w:rPr>
          <w:rFonts w:eastAsia="Arial Unicode MS"/>
          <w:b/>
          <w:bCs/>
          <w:sz w:val="24"/>
          <w:szCs w:val="24"/>
        </w:rPr>
        <w:t>Jumeida</w:t>
      </w:r>
      <w:proofErr w:type="spellEnd"/>
      <w:proofErr w:type="gramEnd"/>
      <w:r>
        <w:rPr>
          <w:rFonts w:eastAsia="Arial Unicode MS"/>
          <w:b/>
          <w:bCs/>
          <w:sz w:val="24"/>
          <w:szCs w:val="24"/>
        </w:rPr>
        <w:t xml:space="preserve"> Simatupang</w:t>
      </w:r>
      <w:r w:rsidRPr="00B5003E">
        <w:rPr>
          <w:rFonts w:eastAsia="Arial Unicode MS"/>
          <w:b/>
          <w:bCs/>
          <w:sz w:val="24"/>
          <w:szCs w:val="24"/>
          <w:vertAlign w:val="superscript"/>
        </w:rPr>
        <w:t>3</w:t>
      </w:r>
    </w:p>
    <w:p w:rsidR="00980268" w:rsidRPr="00B5003E" w:rsidRDefault="00980268" w:rsidP="00B5003E">
      <w:pPr>
        <w:rPr>
          <w:b/>
          <w:sz w:val="24"/>
          <w:szCs w:val="24"/>
        </w:rPr>
      </w:pPr>
    </w:p>
    <w:p w:rsidR="00B5003E" w:rsidRDefault="00B5003E" w:rsidP="00000088">
      <w:pPr>
        <w:pStyle w:val="BodyText"/>
        <w:jc w:val="center"/>
      </w:pPr>
      <w:r>
        <w:t>Email:</w:t>
      </w:r>
      <w:r>
        <w:rPr>
          <w:spacing w:val="-8"/>
        </w:rPr>
        <w:t xml:space="preserve"> </w:t>
      </w:r>
      <w:hyperlink r:id="rId5">
        <w:r>
          <w:rPr>
            <w:color w:val="0000FF"/>
            <w:u w:val="single" w:color="0000FF"/>
          </w:rPr>
          <w:t>qahfiromula@umsu.ac.id</w:t>
        </w:r>
      </w:hyperlink>
    </w:p>
    <w:p w:rsidR="00B5003E" w:rsidRDefault="00B5003E" w:rsidP="00000088">
      <w:pPr>
        <w:ind w:left="100"/>
        <w:jc w:val="center"/>
        <w:rPr>
          <w:i/>
          <w:sz w:val="24"/>
        </w:rPr>
      </w:pPr>
      <w:proofErr w:type="spellStart"/>
      <w:r>
        <w:rPr>
          <w:i/>
          <w:sz w:val="24"/>
        </w:rPr>
        <w:t>Universitas</w:t>
      </w:r>
      <w:proofErr w:type="spellEnd"/>
      <w:r>
        <w:rPr>
          <w:i/>
          <w:spacing w:val="-5"/>
          <w:sz w:val="24"/>
        </w:rPr>
        <w:t xml:space="preserve"> </w:t>
      </w:r>
      <w:proofErr w:type="spellStart"/>
      <w:r>
        <w:rPr>
          <w:i/>
          <w:sz w:val="24"/>
        </w:rPr>
        <w:t>Muhammadiyah</w:t>
      </w:r>
      <w:proofErr w:type="spellEnd"/>
      <w:r>
        <w:rPr>
          <w:i/>
          <w:spacing w:val="-3"/>
          <w:sz w:val="24"/>
        </w:rPr>
        <w:t xml:space="preserve"> </w:t>
      </w:r>
      <w:r>
        <w:rPr>
          <w:i/>
          <w:sz w:val="24"/>
        </w:rPr>
        <w:t>Sumatera</w:t>
      </w:r>
      <w:r>
        <w:rPr>
          <w:i/>
          <w:spacing w:val="-2"/>
          <w:sz w:val="24"/>
        </w:rPr>
        <w:t xml:space="preserve"> </w:t>
      </w:r>
      <w:r>
        <w:rPr>
          <w:i/>
          <w:sz w:val="24"/>
        </w:rPr>
        <w:t>Utara</w:t>
      </w:r>
    </w:p>
    <w:p w:rsidR="00980268" w:rsidRPr="00B5003E" w:rsidRDefault="00980268" w:rsidP="00B5003E">
      <w:pPr>
        <w:tabs>
          <w:tab w:val="left" w:pos="3075"/>
        </w:tabs>
        <w:rPr>
          <w:sz w:val="24"/>
          <w:szCs w:val="24"/>
        </w:rPr>
      </w:pPr>
    </w:p>
    <w:p w:rsidR="00B5003E" w:rsidRDefault="00B5003E" w:rsidP="00B5003E">
      <w:pPr>
        <w:pStyle w:val="Heading2"/>
        <w:spacing w:before="228" w:line="240" w:lineRule="auto"/>
        <w:jc w:val="left"/>
      </w:pPr>
      <w:r>
        <w:t>ABSTRACT</w:t>
      </w:r>
    </w:p>
    <w:p w:rsidR="00B5003E" w:rsidRPr="00793600" w:rsidRDefault="00B5003E" w:rsidP="00B50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3600">
        <w:rPr>
          <w:sz w:val="24"/>
          <w:szCs w:val="24"/>
          <w:lang w:val="id-ID"/>
        </w:rPr>
        <w:t>H</w:t>
      </w:r>
      <w:r w:rsidRPr="00793600">
        <w:rPr>
          <w:sz w:val="24"/>
          <w:szCs w:val="24"/>
        </w:rPr>
        <w:t xml:space="preserve">is study aims to determine whether there is an effect of Current Ratio, Debt To Equity Ratio, and Total Assets Turnover on Return On Equity in transportation sector companies listed on the Indonesia Stock Exchange. The approach used is an associative approach. The </w:t>
      </w:r>
      <w:proofErr w:type="gramStart"/>
      <w:r w:rsidRPr="00793600">
        <w:rPr>
          <w:sz w:val="24"/>
          <w:szCs w:val="24"/>
        </w:rPr>
        <w:t>population in this study are</w:t>
      </w:r>
      <w:proofErr w:type="gramEnd"/>
      <w:r w:rsidRPr="00793600">
        <w:rPr>
          <w:sz w:val="24"/>
          <w:szCs w:val="24"/>
        </w:rPr>
        <w:t xml:space="preserve"> retail trade sector companies listed on the Indonesia Stock Exchange for the 2015-2019 period. Samples were taken using purposive sampling method in order to obtain 7 companies as samples. </w:t>
      </w:r>
      <w:proofErr w:type="gramStart"/>
      <w:r w:rsidRPr="00793600">
        <w:rPr>
          <w:sz w:val="24"/>
          <w:szCs w:val="24"/>
        </w:rPr>
        <w:t>And using multiple linear regression analysis methods, classical assumption test, t test (partial test), f test (simultaneous test) and coefficient of determination with the help of software SPSS V.20 (Statistical Product and Service Solutions).</w:t>
      </w:r>
      <w:proofErr w:type="gramEnd"/>
      <w:r w:rsidRPr="00793600">
        <w:rPr>
          <w:sz w:val="24"/>
          <w:szCs w:val="24"/>
        </w:rPr>
        <w:t xml:space="preserve"> Based on the research results, it can be concluded that partially Total Assets Turnover has a significant effect on Return On Equity, while Current Ratio, Debt To Equity Ratio have no and insignificant effect on Return On Equity. And simultaneously Current Ratio, Debt </w:t>
      </w:r>
      <w:proofErr w:type="gramStart"/>
      <w:r w:rsidRPr="00793600">
        <w:rPr>
          <w:sz w:val="24"/>
          <w:szCs w:val="24"/>
        </w:rPr>
        <w:t>To</w:t>
      </w:r>
      <w:proofErr w:type="gramEnd"/>
      <w:r w:rsidRPr="00793600">
        <w:rPr>
          <w:sz w:val="24"/>
          <w:szCs w:val="24"/>
        </w:rPr>
        <w:t xml:space="preserve"> Equity Ratio, and Total Assets Turnover have a significant effect on Return On Equity in Transportation sector companies listed on the Indonesia Stock Exchange for the period 2015-2019.</w:t>
      </w:r>
    </w:p>
    <w:p w:rsidR="00B5003E" w:rsidRPr="00793600" w:rsidRDefault="00B5003E" w:rsidP="00B5003E">
      <w:pPr>
        <w:spacing w:before="60" w:after="60"/>
        <w:ind w:right="4"/>
        <w:jc w:val="both"/>
        <w:rPr>
          <w:sz w:val="24"/>
          <w:szCs w:val="24"/>
          <w:lang w:val="id-ID"/>
        </w:rPr>
      </w:pPr>
    </w:p>
    <w:p w:rsidR="00B5003E" w:rsidRDefault="00B5003E" w:rsidP="00B5003E">
      <w:pPr>
        <w:spacing w:before="60" w:after="60"/>
        <w:ind w:right="4"/>
        <w:jc w:val="both"/>
        <w:rPr>
          <w:b/>
          <w:i/>
          <w:sz w:val="24"/>
          <w:szCs w:val="24"/>
        </w:rPr>
      </w:pPr>
      <w:r w:rsidRPr="00793600">
        <w:rPr>
          <w:b/>
          <w:sz w:val="24"/>
          <w:szCs w:val="24"/>
        </w:rPr>
        <w:t xml:space="preserve">Keyword: </w:t>
      </w:r>
      <w:r w:rsidRPr="00793600">
        <w:rPr>
          <w:b/>
          <w:i/>
          <w:sz w:val="24"/>
          <w:szCs w:val="24"/>
        </w:rPr>
        <w:t xml:space="preserve">Current Ratio, Debt </w:t>
      </w:r>
      <w:proofErr w:type="gramStart"/>
      <w:r w:rsidRPr="00793600">
        <w:rPr>
          <w:b/>
          <w:i/>
          <w:sz w:val="24"/>
          <w:szCs w:val="24"/>
        </w:rPr>
        <w:t>To</w:t>
      </w:r>
      <w:proofErr w:type="gramEnd"/>
      <w:r w:rsidRPr="00793600">
        <w:rPr>
          <w:b/>
          <w:i/>
          <w:sz w:val="24"/>
          <w:szCs w:val="24"/>
        </w:rPr>
        <w:t xml:space="preserve"> </w:t>
      </w:r>
      <w:r w:rsidRPr="00793600">
        <w:rPr>
          <w:b/>
          <w:i/>
          <w:sz w:val="24"/>
          <w:szCs w:val="24"/>
          <w:lang w:val="id-ID"/>
        </w:rPr>
        <w:t>Equity</w:t>
      </w:r>
      <w:r w:rsidRPr="00793600">
        <w:rPr>
          <w:b/>
          <w:i/>
          <w:sz w:val="24"/>
          <w:szCs w:val="24"/>
        </w:rPr>
        <w:t xml:space="preserve"> Ratio, Total Assets Turnover, Return On </w:t>
      </w:r>
      <w:r w:rsidRPr="00793600">
        <w:rPr>
          <w:b/>
          <w:i/>
          <w:sz w:val="24"/>
          <w:szCs w:val="24"/>
          <w:lang w:val="id-ID"/>
        </w:rPr>
        <w:t>Equity</w:t>
      </w:r>
    </w:p>
    <w:p w:rsidR="00B5003E" w:rsidRDefault="00B5003E" w:rsidP="00B5003E">
      <w:pPr>
        <w:spacing w:before="60" w:after="60"/>
        <w:ind w:right="4"/>
        <w:jc w:val="both"/>
        <w:rPr>
          <w:b/>
          <w:sz w:val="24"/>
          <w:szCs w:val="24"/>
        </w:rPr>
      </w:pPr>
    </w:p>
    <w:p w:rsidR="00000088" w:rsidRDefault="00000088" w:rsidP="00B5003E">
      <w:pPr>
        <w:spacing w:before="60" w:after="60"/>
        <w:ind w:right="4"/>
        <w:jc w:val="both"/>
        <w:rPr>
          <w:b/>
          <w:sz w:val="24"/>
          <w:szCs w:val="24"/>
        </w:rPr>
      </w:pPr>
    </w:p>
    <w:p w:rsidR="00000088" w:rsidRPr="00000088" w:rsidRDefault="00000088" w:rsidP="00000088">
      <w:pPr>
        <w:rPr>
          <w:b/>
          <w:sz w:val="24"/>
          <w:szCs w:val="24"/>
        </w:rPr>
      </w:pPr>
      <w:r w:rsidRPr="00000088">
        <w:rPr>
          <w:rFonts w:eastAsia="Arial Unicode MS"/>
          <w:b/>
          <w:bCs/>
          <w:sz w:val="24"/>
          <w:szCs w:val="24"/>
        </w:rPr>
        <w:t>PRELIMINARY</w:t>
      </w:r>
    </w:p>
    <w:p w:rsidR="00000088" w:rsidRPr="00B5003E" w:rsidRDefault="00000088" w:rsidP="00000088">
      <w:pPr>
        <w:spacing w:before="240"/>
        <w:ind w:right="100" w:firstLine="566"/>
        <w:jc w:val="both"/>
        <w:rPr>
          <w:rFonts w:eastAsia="Arial Unicode MS"/>
          <w:bCs/>
          <w:sz w:val="24"/>
          <w:szCs w:val="24"/>
        </w:rPr>
      </w:pPr>
      <w:r w:rsidRPr="00B5003E">
        <w:rPr>
          <w:rFonts w:eastAsia="Arial Unicode MS"/>
          <w:bCs/>
          <w:sz w:val="24"/>
          <w:szCs w:val="24"/>
        </w:rPr>
        <w:t xml:space="preserve">In this modern era, many companies were founded with the aim of increasing the value of the company so that it can provide prosperity for the owners or shareholders and the company. Competition in industry requires each company to develop its business by improving management performance, especially the company's financial performance. Therefore, if a company wants to always appear to have good management skills, the company must be able to carry out good financial management. Every company needs funds, either for starting up or developing a business that is already in progress. Funds are very important in supporting company continuity. Therefore, the need for a company for funds will never end so that in some cases, owing money becomes one of the ways that must be taken. Actually owing is fine as long as you also apply profitability. In running its business, companies must be involved in what is called debt. Debt is an obligation that must be paid by a company to another party within the promised time as a result of transactions that have occurred in the past. The amount of company debt is closely related to profitability. </w:t>
      </w:r>
      <w:proofErr w:type="gramStart"/>
      <w:r w:rsidRPr="00B5003E">
        <w:rPr>
          <w:rFonts w:eastAsia="Arial Unicode MS"/>
          <w:bCs/>
          <w:sz w:val="24"/>
          <w:szCs w:val="24"/>
        </w:rPr>
        <w:t>profitability</w:t>
      </w:r>
      <w:proofErr w:type="gramEnd"/>
      <w:r w:rsidRPr="00B5003E">
        <w:rPr>
          <w:rFonts w:eastAsia="Arial Unicode MS"/>
          <w:bCs/>
          <w:sz w:val="24"/>
          <w:szCs w:val="24"/>
        </w:rPr>
        <w:t xml:space="preserve"> is the ratio to assess the company's ability to seek profit. </w:t>
      </w:r>
      <w:hyperlink r:id="rId6">
        <w:r w:rsidRPr="00B5003E">
          <w:rPr>
            <w:rFonts w:eastAsia="Arial Unicode MS"/>
            <w:bCs/>
            <w:sz w:val="24"/>
            <w:szCs w:val="24"/>
          </w:rPr>
          <w:t xml:space="preserve">Meanwhile, the solvency ratio is the </w:t>
        </w:r>
        <w:proofErr w:type="spellStart"/>
        <w:r w:rsidRPr="00B5003E">
          <w:rPr>
            <w:rFonts w:eastAsia="Arial Unicode MS"/>
            <w:bCs/>
            <w:sz w:val="24"/>
            <w:szCs w:val="24"/>
          </w:rPr>
          <w:t>ratio</w:t>
        </w:r>
      </w:hyperlink>
      <w:hyperlink r:id="rId7">
        <w:r w:rsidRPr="00B5003E">
          <w:rPr>
            <w:rFonts w:eastAsia="Arial Unicode MS"/>
            <w:bCs/>
            <w:sz w:val="24"/>
            <w:szCs w:val="24"/>
          </w:rPr>
          <w:t>between</w:t>
        </w:r>
        <w:proofErr w:type="spellEnd"/>
        <w:r w:rsidRPr="00B5003E">
          <w:rPr>
            <w:rFonts w:eastAsia="Arial Unicode MS"/>
            <w:bCs/>
            <w:sz w:val="24"/>
            <w:szCs w:val="24"/>
          </w:rPr>
          <w:t xml:space="preserve"> the amount </w:t>
        </w:r>
      </w:hyperlink>
      <w:r w:rsidRPr="00B5003E">
        <w:rPr>
          <w:rFonts w:eastAsia="Arial Unicode MS"/>
          <w:bCs/>
          <w:sz w:val="24"/>
          <w:szCs w:val="24"/>
        </w:rPr>
        <w:t xml:space="preserve">of assets owned by the </w:t>
      </w:r>
      <w:r w:rsidRPr="00B5003E">
        <w:rPr>
          <w:rFonts w:eastAsia="Arial Unicode MS"/>
          <w:bCs/>
          <w:sz w:val="24"/>
          <w:szCs w:val="24"/>
        </w:rPr>
        <w:lastRenderedPageBreak/>
        <w:t>company and the debts that must be borne. From this solvency ratio, we can find out the extent to which the company is able to pay off its debts if the company is liquidated.</w:t>
      </w:r>
    </w:p>
    <w:p w:rsidR="00000088" w:rsidRPr="00B5003E" w:rsidRDefault="00000088" w:rsidP="00000088">
      <w:pPr>
        <w:spacing w:before="240"/>
        <w:ind w:right="360" w:firstLine="626"/>
        <w:jc w:val="both"/>
        <w:rPr>
          <w:sz w:val="24"/>
          <w:szCs w:val="24"/>
        </w:rPr>
      </w:pPr>
      <w:r w:rsidRPr="00B5003E">
        <w:rPr>
          <w:rFonts w:eastAsia="Arial Unicode MS"/>
          <w:bCs/>
          <w:i/>
          <w:iCs/>
          <w:sz w:val="24"/>
          <w:szCs w:val="24"/>
        </w:rPr>
        <w:t xml:space="preserve">“Return On Equity </w:t>
      </w:r>
      <w:r w:rsidRPr="00B5003E">
        <w:rPr>
          <w:rFonts w:eastAsia="Arial Unicode MS"/>
          <w:bCs/>
          <w:sz w:val="24"/>
          <w:szCs w:val="24"/>
        </w:rPr>
        <w:t xml:space="preserve">namely the ratio between profit after tax to total own capital from paid-in </w:t>
      </w:r>
      <w:proofErr w:type="spellStart"/>
      <w:r w:rsidRPr="00B5003E">
        <w:rPr>
          <w:rFonts w:eastAsia="Arial Unicode MS"/>
          <w:bCs/>
          <w:sz w:val="24"/>
          <w:szCs w:val="24"/>
        </w:rPr>
        <w:t>owner'scapital</w:t>
      </w:r>
      <w:proofErr w:type="spellEnd"/>
      <w:r w:rsidRPr="00B5003E">
        <w:rPr>
          <w:rFonts w:eastAsia="Arial Unicode MS"/>
          <w:bCs/>
          <w:sz w:val="24"/>
          <w:szCs w:val="24"/>
        </w:rPr>
        <w:t xml:space="preserve"> </w:t>
      </w:r>
      <w:r w:rsidRPr="00B5003E">
        <w:rPr>
          <w:rFonts w:eastAsia="Arial Unicode MS"/>
          <w:bCs/>
          <w:i/>
          <w:iCs/>
          <w:sz w:val="24"/>
          <w:szCs w:val="24"/>
        </w:rPr>
        <w:t>Return On Equity</w:t>
      </w:r>
      <w:r w:rsidRPr="00B5003E">
        <w:rPr>
          <w:rFonts w:eastAsia="Arial Unicode MS"/>
          <w:bCs/>
          <w:sz w:val="24"/>
          <w:szCs w:val="24"/>
        </w:rPr>
        <w:t xml:space="preserve"> shows that the company is more efficient in managing its own capital to generate profit / net profit ”(</w:t>
      </w:r>
      <w:proofErr w:type="spellStart"/>
      <w:r w:rsidRPr="00B5003E">
        <w:rPr>
          <w:rFonts w:eastAsia="Arial Unicode MS"/>
          <w:bCs/>
          <w:sz w:val="24"/>
          <w:szCs w:val="24"/>
        </w:rPr>
        <w:t>Jufrizen</w:t>
      </w:r>
      <w:proofErr w:type="spellEnd"/>
      <w:r w:rsidRPr="00B5003E">
        <w:rPr>
          <w:rFonts w:eastAsia="Arial Unicode MS"/>
          <w:bCs/>
          <w:sz w:val="24"/>
          <w:szCs w:val="24"/>
        </w:rPr>
        <w:t xml:space="preserve"> &amp; Sari, 2019).</w:t>
      </w:r>
    </w:p>
    <w:p w:rsidR="00000088" w:rsidRPr="00B5003E" w:rsidRDefault="00000088" w:rsidP="00000088">
      <w:pPr>
        <w:spacing w:before="240"/>
        <w:ind w:right="120" w:firstLine="566"/>
        <w:jc w:val="both"/>
        <w:rPr>
          <w:sz w:val="24"/>
          <w:szCs w:val="24"/>
        </w:rPr>
      </w:pPr>
      <w:r w:rsidRPr="00B5003E">
        <w:rPr>
          <w:rFonts w:eastAsia="Arial Unicode MS"/>
          <w:bCs/>
          <w:sz w:val="24"/>
          <w:szCs w:val="24"/>
        </w:rPr>
        <w:t>The factors that affect the profitability ratio are: Profit Margin: there are four factors that increase the company's ability to generate funds internally and will increase the company's continued growth. Dividend policy: The lower the percentage of net income paid as dividends, the higher the retained earnings ratio. This increases the company's own capital from within and will enhance the company's sustainable growth.</w:t>
      </w:r>
    </w:p>
    <w:p w:rsidR="00000088" w:rsidRPr="00B5003E" w:rsidRDefault="00000088" w:rsidP="00000088">
      <w:pPr>
        <w:spacing w:before="240"/>
        <w:ind w:right="120" w:firstLine="566"/>
        <w:jc w:val="both"/>
        <w:rPr>
          <w:sz w:val="24"/>
          <w:szCs w:val="24"/>
        </w:rPr>
      </w:pPr>
      <w:r w:rsidRPr="00B5003E">
        <w:rPr>
          <w:rFonts w:eastAsia="Arial Unicode MS"/>
          <w:bCs/>
          <w:sz w:val="24"/>
          <w:szCs w:val="24"/>
        </w:rPr>
        <w:t>According to (</w:t>
      </w:r>
      <w:proofErr w:type="spellStart"/>
      <w:r w:rsidRPr="00B5003E">
        <w:rPr>
          <w:rFonts w:eastAsia="Arial Unicode MS"/>
          <w:bCs/>
          <w:sz w:val="24"/>
          <w:szCs w:val="24"/>
        </w:rPr>
        <w:t>Prihadi</w:t>
      </w:r>
      <w:proofErr w:type="spellEnd"/>
      <w:r w:rsidRPr="00B5003E">
        <w:rPr>
          <w:rFonts w:eastAsia="Arial Unicode MS"/>
          <w:bCs/>
          <w:sz w:val="24"/>
          <w:szCs w:val="24"/>
        </w:rPr>
        <w:t xml:space="preserve">, 2019, p. 209) </w:t>
      </w:r>
      <w:r w:rsidRPr="00B5003E">
        <w:rPr>
          <w:rFonts w:eastAsia="Arial Unicode MS"/>
          <w:bCs/>
          <w:i/>
          <w:iCs/>
          <w:sz w:val="24"/>
          <w:szCs w:val="24"/>
        </w:rPr>
        <w:t>Current Ratio</w:t>
      </w:r>
      <w:r w:rsidRPr="00B5003E">
        <w:rPr>
          <w:rFonts w:eastAsia="Arial Unicode MS"/>
          <w:bCs/>
          <w:sz w:val="24"/>
          <w:szCs w:val="24"/>
        </w:rPr>
        <w:t xml:space="preserve"> is the ratio to measure how far the company's current assets are able to pay off its short-term liabilities. Assets have potential use one year from the date of the financial statements. Current debt also determines the maximum payment for one year from the balance sheet date.</w:t>
      </w:r>
    </w:p>
    <w:p w:rsidR="00000088" w:rsidRPr="00B5003E" w:rsidRDefault="00000088" w:rsidP="00000088">
      <w:pPr>
        <w:spacing w:before="240"/>
        <w:ind w:right="100" w:firstLine="566"/>
        <w:jc w:val="both"/>
        <w:rPr>
          <w:sz w:val="24"/>
          <w:szCs w:val="24"/>
        </w:rPr>
      </w:pPr>
      <w:r w:rsidRPr="00B5003E">
        <w:rPr>
          <w:rFonts w:eastAsia="Arial Unicode MS"/>
          <w:bCs/>
          <w:sz w:val="24"/>
          <w:szCs w:val="24"/>
        </w:rPr>
        <w:t xml:space="preserve">Influencing factors </w:t>
      </w:r>
      <w:r w:rsidRPr="00B5003E">
        <w:rPr>
          <w:rFonts w:eastAsia="Arial Unicode MS"/>
          <w:bCs/>
          <w:i/>
          <w:iCs/>
          <w:sz w:val="24"/>
          <w:szCs w:val="24"/>
        </w:rPr>
        <w:t>Current Ratio</w:t>
      </w:r>
      <w:r w:rsidRPr="00B5003E">
        <w:rPr>
          <w:rFonts w:eastAsia="Arial Unicode MS"/>
          <w:bCs/>
          <w:sz w:val="24"/>
          <w:szCs w:val="24"/>
        </w:rPr>
        <w:t xml:space="preserve"> are as follows: Distribution of items from current assets. Trend data from current assets and short-term debt for a period of 5 or 10 years, the terms of credit given by creditors to companies in returning goods, and terms of credit given by companies to customers in selling goods. Present value or market value or exchange value of merchandise and rate of collection of accounts receivable. Possible changes in the value of current assets. </w:t>
      </w:r>
      <w:proofErr w:type="gramStart"/>
      <w:r w:rsidRPr="00B5003E">
        <w:rPr>
          <w:rFonts w:eastAsia="Arial Unicode MS"/>
          <w:bCs/>
          <w:sz w:val="24"/>
          <w:szCs w:val="24"/>
        </w:rPr>
        <w:t>Changes in inventory in relation to current and future sales volume.</w:t>
      </w:r>
      <w:proofErr w:type="gramEnd"/>
    </w:p>
    <w:p w:rsidR="00000088" w:rsidRPr="00B5003E" w:rsidRDefault="00000088" w:rsidP="00000088">
      <w:pPr>
        <w:spacing w:before="240"/>
        <w:ind w:right="280" w:firstLine="566"/>
        <w:jc w:val="both"/>
        <w:rPr>
          <w:rFonts w:eastAsia="Arial Unicode MS"/>
          <w:bCs/>
          <w:sz w:val="24"/>
          <w:szCs w:val="24"/>
        </w:rPr>
      </w:pPr>
      <w:bookmarkStart w:id="1" w:name="page4"/>
      <w:bookmarkEnd w:id="1"/>
      <w:r w:rsidRPr="00B5003E">
        <w:rPr>
          <w:rFonts w:eastAsia="Arial Unicode MS"/>
          <w:bCs/>
          <w:sz w:val="24"/>
          <w:szCs w:val="24"/>
        </w:rPr>
        <w:t>According to (</w:t>
      </w:r>
      <w:proofErr w:type="spellStart"/>
      <w:r w:rsidRPr="00B5003E">
        <w:rPr>
          <w:rFonts w:eastAsia="Arial Unicode MS"/>
          <w:bCs/>
          <w:sz w:val="24"/>
          <w:szCs w:val="24"/>
        </w:rPr>
        <w:t>Kasmir</w:t>
      </w:r>
      <w:proofErr w:type="spellEnd"/>
      <w:r w:rsidRPr="00B5003E">
        <w:rPr>
          <w:rFonts w:eastAsia="Arial Unicode MS"/>
          <w:bCs/>
          <w:sz w:val="24"/>
          <w:szCs w:val="24"/>
        </w:rPr>
        <w:t xml:space="preserve">, 2018, p. 157) states that </w:t>
      </w:r>
      <w:r w:rsidRPr="00B5003E">
        <w:rPr>
          <w:rFonts w:eastAsia="Arial Unicode MS"/>
          <w:bCs/>
          <w:i/>
          <w:iCs/>
          <w:sz w:val="24"/>
          <w:szCs w:val="24"/>
        </w:rPr>
        <w:t xml:space="preserve">Debt To Equity Ratio </w:t>
      </w:r>
      <w:proofErr w:type="gramStart"/>
      <w:r w:rsidRPr="00B5003E">
        <w:rPr>
          <w:rFonts w:eastAsia="Arial Unicode MS"/>
          <w:bCs/>
          <w:i/>
          <w:iCs/>
          <w:sz w:val="24"/>
          <w:szCs w:val="24"/>
        </w:rPr>
        <w:t>(</w:t>
      </w:r>
      <w:r w:rsidRPr="00B5003E">
        <w:rPr>
          <w:rFonts w:eastAsia="Arial Unicode MS"/>
          <w:bCs/>
          <w:sz w:val="24"/>
          <w:szCs w:val="24"/>
        </w:rPr>
        <w:t xml:space="preserve"> DER</w:t>
      </w:r>
      <w:proofErr w:type="gramEnd"/>
      <w:r w:rsidRPr="00B5003E">
        <w:rPr>
          <w:rFonts w:eastAsia="Arial Unicode MS"/>
          <w:bCs/>
          <w:sz w:val="24"/>
          <w:szCs w:val="24"/>
        </w:rPr>
        <w:t>) is the ratio used to value debt to equity. This ratio is sought by comparing all debt, including current debt, and total equity.</w:t>
      </w:r>
    </w:p>
    <w:p w:rsidR="00000088" w:rsidRPr="00B5003E" w:rsidRDefault="00000088" w:rsidP="00000088">
      <w:pPr>
        <w:spacing w:before="240"/>
        <w:ind w:right="180" w:firstLine="566"/>
        <w:jc w:val="both"/>
        <w:rPr>
          <w:sz w:val="24"/>
          <w:szCs w:val="24"/>
        </w:rPr>
      </w:pPr>
      <w:proofErr w:type="gramStart"/>
      <w:r w:rsidRPr="00B5003E">
        <w:rPr>
          <w:rFonts w:eastAsia="Arial Unicode MS"/>
          <w:bCs/>
          <w:sz w:val="24"/>
          <w:szCs w:val="24"/>
        </w:rPr>
        <w:t>influencing</w:t>
      </w:r>
      <w:proofErr w:type="gramEnd"/>
      <w:r w:rsidRPr="00B5003E">
        <w:rPr>
          <w:rFonts w:eastAsia="Arial Unicode MS"/>
          <w:bCs/>
          <w:sz w:val="24"/>
          <w:szCs w:val="24"/>
        </w:rPr>
        <w:t xml:space="preserve"> factors </w:t>
      </w:r>
      <w:r w:rsidRPr="00B5003E">
        <w:rPr>
          <w:rFonts w:eastAsia="Arial Unicode MS"/>
          <w:bCs/>
          <w:i/>
          <w:iCs/>
          <w:sz w:val="24"/>
          <w:szCs w:val="24"/>
        </w:rPr>
        <w:t>Debt to Equity Ratio</w:t>
      </w:r>
      <w:r w:rsidRPr="00B5003E">
        <w:rPr>
          <w:rFonts w:eastAsia="Arial Unicode MS"/>
          <w:bCs/>
          <w:sz w:val="24"/>
          <w:szCs w:val="24"/>
        </w:rPr>
        <w:t xml:space="preserve"> are as follows: Sales Level Companies with relatively stable sales means that they have relatively stable cash flow, so they can use larger debt than companies with unstable sales. Company Growth Rate Company growth rate is the company's ability to produce size. Profitability The </w:t>
      </w:r>
      <w:proofErr w:type="gramStart"/>
      <w:r w:rsidRPr="00B5003E">
        <w:rPr>
          <w:rFonts w:eastAsia="Arial Unicode MS"/>
          <w:bCs/>
          <w:sz w:val="24"/>
          <w:szCs w:val="24"/>
        </w:rPr>
        <w:t>company's</w:t>
      </w:r>
      <w:proofErr w:type="gramEnd"/>
      <w:r w:rsidRPr="00B5003E">
        <w:rPr>
          <w:rFonts w:eastAsia="Arial Unicode MS"/>
          <w:bCs/>
          <w:sz w:val="24"/>
          <w:szCs w:val="24"/>
        </w:rPr>
        <w:t xml:space="preserve"> ability to generate profits and a measure in percentage used to assess the extent to which the company is able to generate profits at an acceptable level.</w:t>
      </w:r>
    </w:p>
    <w:p w:rsidR="00000088" w:rsidRPr="00B5003E" w:rsidRDefault="00000088" w:rsidP="00000088">
      <w:pPr>
        <w:spacing w:before="240"/>
        <w:ind w:firstLine="566"/>
        <w:jc w:val="both"/>
        <w:rPr>
          <w:sz w:val="24"/>
          <w:szCs w:val="24"/>
        </w:rPr>
      </w:pPr>
      <w:r w:rsidRPr="00B5003E">
        <w:rPr>
          <w:rFonts w:eastAsia="Arial Unicode MS"/>
          <w:bCs/>
          <w:sz w:val="24"/>
          <w:szCs w:val="24"/>
        </w:rPr>
        <w:t>According to (</w:t>
      </w:r>
      <w:proofErr w:type="spellStart"/>
      <w:r w:rsidRPr="00B5003E">
        <w:rPr>
          <w:rFonts w:eastAsia="Arial Unicode MS"/>
          <w:bCs/>
          <w:sz w:val="24"/>
          <w:szCs w:val="24"/>
        </w:rPr>
        <w:t>Fahmi</w:t>
      </w:r>
      <w:proofErr w:type="spellEnd"/>
      <w:r w:rsidRPr="00B5003E">
        <w:rPr>
          <w:rFonts w:eastAsia="Arial Unicode MS"/>
          <w:bCs/>
          <w:sz w:val="24"/>
          <w:szCs w:val="24"/>
        </w:rPr>
        <w:t xml:space="preserve">, 2017, p. 135) stated </w:t>
      </w:r>
      <w:r w:rsidRPr="00B5003E">
        <w:rPr>
          <w:rFonts w:eastAsia="Arial Unicode MS"/>
          <w:bCs/>
          <w:i/>
          <w:iCs/>
          <w:sz w:val="24"/>
          <w:szCs w:val="24"/>
        </w:rPr>
        <w:t>Total Assets Turnover</w:t>
      </w:r>
      <w:r w:rsidRPr="00B5003E">
        <w:rPr>
          <w:rFonts w:eastAsia="Arial Unicode MS"/>
          <w:bCs/>
          <w:sz w:val="24"/>
          <w:szCs w:val="24"/>
        </w:rPr>
        <w:t xml:space="preserve"> also called the total asset </w:t>
      </w:r>
      <w:proofErr w:type="spellStart"/>
      <w:r w:rsidRPr="00B5003E">
        <w:rPr>
          <w:rFonts w:eastAsia="Arial Unicode MS"/>
          <w:bCs/>
          <w:sz w:val="24"/>
          <w:szCs w:val="24"/>
        </w:rPr>
        <w:t>turnover.This</w:t>
      </w:r>
      <w:proofErr w:type="spellEnd"/>
      <w:r w:rsidRPr="00B5003E">
        <w:rPr>
          <w:rFonts w:eastAsia="Arial Unicode MS"/>
          <w:bCs/>
          <w:sz w:val="24"/>
          <w:szCs w:val="24"/>
        </w:rPr>
        <w:t xml:space="preserve"> ratio looks at the extent to which all assets owned by the company turn over </w:t>
      </w:r>
      <w:proofErr w:type="spellStart"/>
      <w:r w:rsidRPr="00B5003E">
        <w:rPr>
          <w:rFonts w:eastAsia="Arial Unicode MS"/>
          <w:bCs/>
          <w:sz w:val="24"/>
          <w:szCs w:val="24"/>
        </w:rPr>
        <w:t>effectively.high</w:t>
      </w:r>
      <w:proofErr w:type="spellEnd"/>
      <w:r w:rsidRPr="00B5003E">
        <w:rPr>
          <w:rFonts w:eastAsia="Arial Unicode MS"/>
          <w:bCs/>
          <w:sz w:val="24"/>
          <w:szCs w:val="24"/>
        </w:rPr>
        <w:t xml:space="preserve"> low factor </w:t>
      </w:r>
      <w:r w:rsidRPr="00B5003E">
        <w:rPr>
          <w:rFonts w:eastAsia="Arial Unicode MS"/>
          <w:bCs/>
          <w:i/>
          <w:iCs/>
          <w:sz w:val="24"/>
          <w:szCs w:val="24"/>
        </w:rPr>
        <w:t>Total Assets Turnover</w:t>
      </w:r>
      <w:r w:rsidRPr="00B5003E">
        <w:rPr>
          <w:rFonts w:eastAsia="Arial Unicode MS"/>
          <w:bCs/>
          <w:sz w:val="24"/>
          <w:szCs w:val="24"/>
        </w:rPr>
        <w:t xml:space="preserve"> determined by: By increasing business capital</w:t>
      </w:r>
      <w:r>
        <w:rPr>
          <w:rFonts w:eastAsia="Arial Unicode MS"/>
          <w:bCs/>
          <w:sz w:val="24"/>
          <w:szCs w:val="24"/>
        </w:rPr>
        <w:t xml:space="preserve">            </w:t>
      </w:r>
      <w:r w:rsidRPr="00B5003E">
        <w:rPr>
          <w:rFonts w:eastAsia="Arial Unicode MS"/>
          <w:bCs/>
          <w:sz w:val="24"/>
          <w:szCs w:val="24"/>
        </w:rPr>
        <w:t xml:space="preserve"> (</w:t>
      </w:r>
      <w:r w:rsidRPr="00B5003E">
        <w:rPr>
          <w:rFonts w:eastAsia="Arial Unicode MS"/>
          <w:bCs/>
          <w:i/>
          <w:iCs/>
          <w:sz w:val="24"/>
          <w:szCs w:val="24"/>
        </w:rPr>
        <w:t xml:space="preserve">operating </w:t>
      </w:r>
      <w:proofErr w:type="spellStart"/>
      <w:r w:rsidRPr="00B5003E">
        <w:rPr>
          <w:rFonts w:eastAsia="Arial Unicode MS"/>
          <w:bCs/>
          <w:i/>
          <w:iCs/>
          <w:sz w:val="24"/>
          <w:szCs w:val="24"/>
        </w:rPr>
        <w:t>assetsturnover</w:t>
      </w:r>
      <w:proofErr w:type="spellEnd"/>
      <w:r w:rsidRPr="00B5003E">
        <w:rPr>
          <w:rFonts w:eastAsia="Arial Unicode MS"/>
          <w:bCs/>
          <w:i/>
          <w:iCs/>
          <w:sz w:val="24"/>
          <w:szCs w:val="24"/>
        </w:rPr>
        <w:t xml:space="preserve">) </w:t>
      </w:r>
      <w:r w:rsidRPr="00B5003E">
        <w:rPr>
          <w:rFonts w:eastAsia="Arial Unicode MS"/>
          <w:bCs/>
          <w:sz w:val="24"/>
          <w:szCs w:val="24"/>
        </w:rPr>
        <w:t xml:space="preserve">Attempting to achieve a certain level, increase sales as much as possible. By reducing sales to </w:t>
      </w:r>
      <w:proofErr w:type="spellStart"/>
      <w:r w:rsidRPr="00B5003E">
        <w:rPr>
          <w:rFonts w:eastAsia="Arial Unicode MS"/>
          <w:bCs/>
          <w:sz w:val="24"/>
          <w:szCs w:val="24"/>
        </w:rPr>
        <w:t>acertain</w:t>
      </w:r>
      <w:proofErr w:type="spellEnd"/>
      <w:r w:rsidRPr="00B5003E">
        <w:rPr>
          <w:rFonts w:eastAsia="Arial Unicode MS"/>
          <w:bCs/>
          <w:sz w:val="24"/>
          <w:szCs w:val="24"/>
        </w:rPr>
        <w:t xml:space="preserve"> level, efforts will be made to reduce or reduce operating assets as much as possible. </w:t>
      </w:r>
      <w:r w:rsidRPr="00B5003E">
        <w:rPr>
          <w:rFonts w:eastAsia="Arial Unicode MS"/>
          <w:bCs/>
          <w:i/>
          <w:iCs/>
          <w:sz w:val="24"/>
          <w:szCs w:val="24"/>
        </w:rPr>
        <w:t xml:space="preserve">Total </w:t>
      </w:r>
      <w:proofErr w:type="spellStart"/>
      <w:r w:rsidRPr="00B5003E">
        <w:rPr>
          <w:rFonts w:eastAsia="Arial Unicode MS"/>
          <w:bCs/>
          <w:i/>
          <w:iCs/>
          <w:sz w:val="24"/>
          <w:szCs w:val="24"/>
        </w:rPr>
        <w:t>AssetTurnover</w:t>
      </w:r>
      <w:proofErr w:type="spellEnd"/>
      <w:r w:rsidRPr="00B5003E">
        <w:rPr>
          <w:rFonts w:eastAsia="Arial Unicode MS"/>
          <w:bCs/>
          <w:i/>
          <w:iCs/>
          <w:sz w:val="24"/>
          <w:szCs w:val="24"/>
        </w:rPr>
        <w:t xml:space="preserve"> </w:t>
      </w:r>
      <w:r w:rsidRPr="00B5003E">
        <w:rPr>
          <w:rFonts w:eastAsia="Arial Unicode MS"/>
          <w:bCs/>
          <w:sz w:val="24"/>
          <w:szCs w:val="24"/>
        </w:rPr>
        <w:t xml:space="preserve">shows the asset's turnover in terms of sales volume in other words how far all assets are able </w:t>
      </w:r>
      <w:proofErr w:type="spellStart"/>
      <w:r w:rsidRPr="00B5003E">
        <w:rPr>
          <w:rFonts w:eastAsia="Arial Unicode MS"/>
          <w:bCs/>
          <w:sz w:val="24"/>
          <w:szCs w:val="24"/>
        </w:rPr>
        <w:t>tocreate</w:t>
      </w:r>
      <w:proofErr w:type="spellEnd"/>
      <w:r w:rsidRPr="00B5003E">
        <w:rPr>
          <w:rFonts w:eastAsia="Arial Unicode MS"/>
          <w:bCs/>
          <w:sz w:val="24"/>
          <w:szCs w:val="24"/>
        </w:rPr>
        <w:t xml:space="preserve"> sales. The higher the ratio </w:t>
      </w:r>
      <w:r w:rsidRPr="00B5003E">
        <w:rPr>
          <w:rFonts w:eastAsia="Arial Unicode MS"/>
          <w:bCs/>
          <w:i/>
          <w:iCs/>
          <w:sz w:val="24"/>
          <w:szCs w:val="24"/>
        </w:rPr>
        <w:t>Total Asset Turnover</w:t>
      </w:r>
      <w:r w:rsidRPr="00B5003E">
        <w:rPr>
          <w:rFonts w:eastAsia="Arial Unicode MS"/>
          <w:bCs/>
          <w:sz w:val="24"/>
          <w:szCs w:val="24"/>
        </w:rPr>
        <w:t xml:space="preserve"> means the better, because of the effective use of assets in generating sales, so it can be said that the resulting profit is also high and thus the financial performance is getting better.</w:t>
      </w:r>
    </w:p>
    <w:p w:rsidR="00000088" w:rsidRDefault="00000088" w:rsidP="00000088">
      <w:pPr>
        <w:spacing w:before="240"/>
        <w:jc w:val="both"/>
        <w:rPr>
          <w:sz w:val="24"/>
          <w:szCs w:val="24"/>
        </w:rPr>
      </w:pPr>
    </w:p>
    <w:p w:rsidR="00000088" w:rsidRPr="00B5003E" w:rsidRDefault="00000088" w:rsidP="00000088">
      <w:pPr>
        <w:spacing w:before="240"/>
        <w:rPr>
          <w:b/>
          <w:sz w:val="24"/>
          <w:szCs w:val="24"/>
        </w:rPr>
      </w:pPr>
      <w:r w:rsidRPr="00B5003E">
        <w:rPr>
          <w:rFonts w:eastAsia="Arial Unicode MS"/>
          <w:b/>
          <w:bCs/>
          <w:sz w:val="24"/>
          <w:szCs w:val="24"/>
        </w:rPr>
        <w:lastRenderedPageBreak/>
        <w:t>THEORETICAL BASIS</w:t>
      </w:r>
    </w:p>
    <w:p w:rsidR="00000088" w:rsidRPr="00B5003E" w:rsidRDefault="00000088" w:rsidP="00000088">
      <w:pPr>
        <w:rPr>
          <w:sz w:val="24"/>
          <w:szCs w:val="24"/>
        </w:rPr>
      </w:pPr>
    </w:p>
    <w:p w:rsidR="00000088" w:rsidRPr="00B5003E" w:rsidRDefault="00000088" w:rsidP="00000088">
      <w:pPr>
        <w:rPr>
          <w:b/>
          <w:sz w:val="24"/>
          <w:szCs w:val="24"/>
        </w:rPr>
      </w:pPr>
      <w:r w:rsidRPr="00B5003E">
        <w:rPr>
          <w:rFonts w:eastAsia="Arial Unicode MS"/>
          <w:b/>
          <w:bCs/>
          <w:i/>
          <w:iCs/>
          <w:sz w:val="24"/>
          <w:szCs w:val="24"/>
        </w:rPr>
        <w:t xml:space="preserve">Return On Equity </w:t>
      </w:r>
      <w:proofErr w:type="gramStart"/>
      <w:r w:rsidRPr="00B5003E">
        <w:rPr>
          <w:rFonts w:eastAsia="Arial Unicode MS"/>
          <w:b/>
          <w:bCs/>
          <w:i/>
          <w:iCs/>
          <w:sz w:val="24"/>
          <w:szCs w:val="24"/>
        </w:rPr>
        <w:t xml:space="preserve">( </w:t>
      </w:r>
      <w:r w:rsidRPr="00B5003E">
        <w:rPr>
          <w:rFonts w:eastAsia="Arial Unicode MS"/>
          <w:b/>
          <w:bCs/>
          <w:sz w:val="24"/>
          <w:szCs w:val="24"/>
        </w:rPr>
        <w:t>ROE</w:t>
      </w:r>
      <w:proofErr w:type="gramEnd"/>
      <w:r w:rsidRPr="00B5003E">
        <w:rPr>
          <w:rFonts w:eastAsia="Arial Unicode MS"/>
          <w:b/>
          <w:bCs/>
          <w:sz w:val="24"/>
          <w:szCs w:val="24"/>
        </w:rPr>
        <w:t>)</w:t>
      </w:r>
    </w:p>
    <w:p w:rsidR="00000088" w:rsidRPr="00B5003E" w:rsidRDefault="00000088" w:rsidP="00000088">
      <w:pPr>
        <w:ind w:right="220" w:firstLine="708"/>
        <w:jc w:val="both"/>
        <w:rPr>
          <w:sz w:val="24"/>
          <w:szCs w:val="24"/>
        </w:rPr>
      </w:pPr>
      <w:r w:rsidRPr="00B5003E">
        <w:rPr>
          <w:rFonts w:eastAsia="Arial Unicode MS"/>
          <w:bCs/>
          <w:sz w:val="24"/>
          <w:szCs w:val="24"/>
        </w:rPr>
        <w:t>According to (</w:t>
      </w:r>
      <w:proofErr w:type="spellStart"/>
      <w:r w:rsidRPr="00B5003E">
        <w:rPr>
          <w:rFonts w:eastAsia="Arial Unicode MS"/>
          <w:bCs/>
          <w:sz w:val="24"/>
          <w:szCs w:val="24"/>
        </w:rPr>
        <w:t>Kasmir</w:t>
      </w:r>
      <w:proofErr w:type="spellEnd"/>
      <w:r w:rsidRPr="00B5003E">
        <w:rPr>
          <w:rFonts w:eastAsia="Arial Unicode MS"/>
          <w:bCs/>
          <w:sz w:val="24"/>
          <w:szCs w:val="24"/>
        </w:rPr>
        <w:t xml:space="preserve">, 2018, p. 204) states that </w:t>
      </w:r>
      <w:r w:rsidRPr="00B5003E">
        <w:rPr>
          <w:rFonts w:eastAsia="Arial Unicode MS"/>
          <w:bCs/>
          <w:i/>
          <w:iCs/>
          <w:sz w:val="24"/>
          <w:szCs w:val="24"/>
        </w:rPr>
        <w:t xml:space="preserve">Return On Equity </w:t>
      </w:r>
      <w:proofErr w:type="gramStart"/>
      <w:r w:rsidRPr="00B5003E">
        <w:rPr>
          <w:rFonts w:eastAsia="Arial Unicode MS"/>
          <w:bCs/>
          <w:i/>
          <w:iCs/>
          <w:sz w:val="24"/>
          <w:szCs w:val="24"/>
        </w:rPr>
        <w:t>(</w:t>
      </w:r>
      <w:r w:rsidRPr="00B5003E">
        <w:rPr>
          <w:rFonts w:eastAsia="Arial Unicode MS"/>
          <w:bCs/>
          <w:sz w:val="24"/>
          <w:szCs w:val="24"/>
        </w:rPr>
        <w:t xml:space="preserve"> ROE</w:t>
      </w:r>
      <w:proofErr w:type="gramEnd"/>
      <w:r w:rsidRPr="00B5003E">
        <w:rPr>
          <w:rFonts w:eastAsia="Arial Unicode MS"/>
          <w:bCs/>
          <w:sz w:val="24"/>
          <w:szCs w:val="24"/>
        </w:rPr>
        <w:t xml:space="preserve">) is a ratio to measure net profit after tax with own capital. </w:t>
      </w:r>
      <w:proofErr w:type="gramStart"/>
      <w:r w:rsidRPr="00B5003E">
        <w:rPr>
          <w:rFonts w:eastAsia="Arial Unicode MS"/>
          <w:bCs/>
          <w:sz w:val="24"/>
          <w:szCs w:val="24"/>
        </w:rPr>
        <w:t>The higher this ratio, the better.</w:t>
      </w:r>
      <w:proofErr w:type="gramEnd"/>
      <w:r w:rsidRPr="00B5003E">
        <w:rPr>
          <w:rFonts w:eastAsia="Arial Unicode MS"/>
          <w:bCs/>
          <w:sz w:val="24"/>
          <w:szCs w:val="24"/>
        </w:rPr>
        <w:t xml:space="preserve"> This means that the position of the company owner is getting stronger, and vice versa.</w:t>
      </w:r>
    </w:p>
    <w:p w:rsidR="00000088" w:rsidRPr="00B5003E" w:rsidRDefault="00000088" w:rsidP="00000088">
      <w:pPr>
        <w:ind w:right="100" w:firstLine="708"/>
        <w:jc w:val="both"/>
        <w:rPr>
          <w:sz w:val="24"/>
          <w:szCs w:val="24"/>
        </w:rPr>
      </w:pPr>
      <w:r w:rsidRPr="00B5003E">
        <w:rPr>
          <w:rFonts w:eastAsia="Arial Unicode MS"/>
          <w:bCs/>
          <w:sz w:val="24"/>
          <w:szCs w:val="24"/>
        </w:rPr>
        <w:t>According to (</w:t>
      </w:r>
      <w:proofErr w:type="spellStart"/>
      <w:r w:rsidRPr="00B5003E">
        <w:rPr>
          <w:rFonts w:eastAsia="Arial Unicode MS"/>
          <w:bCs/>
          <w:sz w:val="24"/>
          <w:szCs w:val="24"/>
        </w:rPr>
        <w:t>Fahmi</w:t>
      </w:r>
      <w:proofErr w:type="spellEnd"/>
      <w:r w:rsidRPr="00B5003E">
        <w:rPr>
          <w:rFonts w:eastAsia="Arial Unicode MS"/>
          <w:bCs/>
          <w:sz w:val="24"/>
          <w:szCs w:val="24"/>
        </w:rPr>
        <w:t xml:space="preserve">, 2017, p. 137) states that </w:t>
      </w:r>
      <w:r w:rsidRPr="00B5003E">
        <w:rPr>
          <w:rFonts w:eastAsia="Arial Unicode MS"/>
          <w:bCs/>
          <w:i/>
          <w:iCs/>
          <w:sz w:val="24"/>
          <w:szCs w:val="24"/>
        </w:rPr>
        <w:t xml:space="preserve">Return On Equity </w:t>
      </w:r>
      <w:proofErr w:type="gramStart"/>
      <w:r w:rsidRPr="00B5003E">
        <w:rPr>
          <w:rFonts w:eastAsia="Arial Unicode MS"/>
          <w:bCs/>
          <w:i/>
          <w:iCs/>
          <w:sz w:val="24"/>
          <w:szCs w:val="24"/>
        </w:rPr>
        <w:t>(</w:t>
      </w:r>
      <w:r w:rsidRPr="00B5003E">
        <w:rPr>
          <w:rFonts w:eastAsia="Arial Unicode MS"/>
          <w:bCs/>
          <w:sz w:val="24"/>
          <w:szCs w:val="24"/>
        </w:rPr>
        <w:t xml:space="preserve"> ROE</w:t>
      </w:r>
      <w:proofErr w:type="gramEnd"/>
      <w:r w:rsidRPr="00B5003E">
        <w:rPr>
          <w:rFonts w:eastAsia="Arial Unicode MS"/>
          <w:bCs/>
          <w:sz w:val="24"/>
          <w:szCs w:val="24"/>
        </w:rPr>
        <w:t>) is also known as the return on equity. From several references it is also called the ratio of total asset turnover or total asset turnover. This ratio examines the extent to which a company uses its resources to be able to provide a return on equity.</w:t>
      </w:r>
    </w:p>
    <w:p w:rsidR="00000088" w:rsidRPr="00B5003E" w:rsidRDefault="00000088" w:rsidP="00000088">
      <w:pPr>
        <w:ind w:right="220" w:firstLine="708"/>
        <w:jc w:val="both"/>
        <w:rPr>
          <w:sz w:val="24"/>
          <w:szCs w:val="24"/>
        </w:rPr>
      </w:pPr>
      <w:r w:rsidRPr="00B5003E">
        <w:rPr>
          <w:rFonts w:eastAsia="Arial Unicode MS"/>
          <w:bCs/>
          <w:i/>
          <w:iCs/>
          <w:sz w:val="24"/>
          <w:szCs w:val="24"/>
        </w:rPr>
        <w:t xml:space="preserve">“Return On Equity </w:t>
      </w:r>
      <w:r w:rsidRPr="00B5003E">
        <w:rPr>
          <w:rFonts w:eastAsia="Arial Unicode MS"/>
          <w:bCs/>
          <w:sz w:val="24"/>
          <w:szCs w:val="24"/>
        </w:rPr>
        <w:t xml:space="preserve">that is, the ratio between </w:t>
      </w:r>
      <w:proofErr w:type="gramStart"/>
      <w:r w:rsidRPr="00B5003E">
        <w:rPr>
          <w:rFonts w:eastAsia="Arial Unicode MS"/>
          <w:bCs/>
          <w:sz w:val="24"/>
          <w:szCs w:val="24"/>
        </w:rPr>
        <w:t>profit</w:t>
      </w:r>
      <w:proofErr w:type="gramEnd"/>
      <w:r w:rsidRPr="00B5003E">
        <w:rPr>
          <w:rFonts w:eastAsia="Arial Unicode MS"/>
          <w:bCs/>
          <w:sz w:val="24"/>
          <w:szCs w:val="24"/>
        </w:rPr>
        <w:t xml:space="preserve"> after tax to own capital from paid-up capital of </w:t>
      </w:r>
      <w:proofErr w:type="spellStart"/>
      <w:r w:rsidRPr="00B5003E">
        <w:rPr>
          <w:rFonts w:eastAsia="Arial Unicode MS"/>
          <w:bCs/>
          <w:sz w:val="24"/>
          <w:szCs w:val="24"/>
        </w:rPr>
        <w:t>thebusiness</w:t>
      </w:r>
      <w:proofErr w:type="spellEnd"/>
      <w:r w:rsidRPr="00B5003E">
        <w:rPr>
          <w:rFonts w:eastAsia="Arial Unicode MS"/>
          <w:bCs/>
          <w:sz w:val="24"/>
          <w:szCs w:val="24"/>
        </w:rPr>
        <w:t xml:space="preserve"> owner. The higher it is </w:t>
      </w:r>
      <w:r w:rsidRPr="00B5003E">
        <w:rPr>
          <w:rFonts w:eastAsia="Arial Unicode MS"/>
          <w:bCs/>
          <w:i/>
          <w:iCs/>
          <w:sz w:val="24"/>
          <w:szCs w:val="24"/>
        </w:rPr>
        <w:t>Return On Equity</w:t>
      </w:r>
      <w:r w:rsidRPr="00B5003E">
        <w:rPr>
          <w:rFonts w:eastAsia="Arial Unicode MS"/>
          <w:bCs/>
          <w:sz w:val="24"/>
          <w:szCs w:val="24"/>
        </w:rPr>
        <w:t xml:space="preserve"> shows the more efficient companies are in managing their own capital to generate profit or net profit ”(</w:t>
      </w:r>
      <w:proofErr w:type="spellStart"/>
      <w:r w:rsidRPr="00B5003E">
        <w:rPr>
          <w:rFonts w:eastAsia="Arial Unicode MS"/>
          <w:bCs/>
          <w:sz w:val="24"/>
          <w:szCs w:val="24"/>
        </w:rPr>
        <w:t>Jufrizen</w:t>
      </w:r>
      <w:proofErr w:type="spellEnd"/>
      <w:r w:rsidRPr="00B5003E">
        <w:rPr>
          <w:rFonts w:eastAsia="Arial Unicode MS"/>
          <w:bCs/>
          <w:sz w:val="24"/>
          <w:szCs w:val="24"/>
        </w:rPr>
        <w:t xml:space="preserve"> &amp; Sari, 2019).</w:t>
      </w:r>
    </w:p>
    <w:p w:rsidR="00000088" w:rsidRPr="00B5003E" w:rsidRDefault="00000088" w:rsidP="00000088">
      <w:pPr>
        <w:ind w:firstLine="566"/>
        <w:jc w:val="both"/>
        <w:rPr>
          <w:sz w:val="24"/>
          <w:szCs w:val="24"/>
        </w:rPr>
      </w:pPr>
      <w:r w:rsidRPr="00B5003E">
        <w:rPr>
          <w:rFonts w:eastAsia="Arial Unicode MS"/>
          <w:bCs/>
          <w:sz w:val="24"/>
          <w:szCs w:val="24"/>
        </w:rPr>
        <w:t>In measuring the company's performance in obtaining profits that are available to shareholders in the company or to find out whether the size of the company is large or small, it is affected by the company's debt. If the company's debt is getting bigger, then this ratio will be even bigger. This ratio can be calculated using the formula:</w:t>
      </w:r>
    </w:p>
    <w:p w:rsidR="00000088" w:rsidRDefault="00000088" w:rsidP="00000088">
      <w:pPr>
        <w:rPr>
          <w:sz w:val="24"/>
          <w:szCs w:val="24"/>
        </w:rPr>
      </w:pPr>
      <w:r>
        <w:rPr>
          <w:noProof/>
          <w:sz w:val="24"/>
          <w:szCs w:val="24"/>
        </w:rPr>
        <w:pict>
          <v:roundrect id="_x0000_s1096" style="position:absolute;margin-left:103.95pt;margin-top:13.3pt;width:274.65pt;height:59.5pt;z-index:251701248" arcsize="10923f">
            <v:textbox>
              <w:txbxContent>
                <w:p w:rsidR="00E80ACE" w:rsidRPr="00B5003E" w:rsidRDefault="00CF5640" w:rsidP="00E80ACE">
                  <w:pPr>
                    <w:rPr>
                      <w:sz w:val="24"/>
                      <w:szCs w:val="24"/>
                    </w:rPr>
                  </w:pPr>
                  <w:r w:rsidRPr="00B5003E">
                    <w:rPr>
                      <w:rFonts w:eastAsia="Arial Unicode MS"/>
                      <w:bCs/>
                      <w:i/>
                      <w:iCs/>
                      <w:sz w:val="24"/>
                      <w:szCs w:val="24"/>
                    </w:rPr>
                    <w:t>Return On Equity (ROE) =</w:t>
                  </w:r>
                  <w:r w:rsidR="00E80ACE" w:rsidRPr="00E80ACE">
                    <w:rPr>
                      <w:rFonts w:eastAsia="Arial Unicode MS"/>
                      <w:bCs/>
                      <w:sz w:val="24"/>
                      <w:szCs w:val="24"/>
                    </w:rPr>
                    <w:t xml:space="preserve"> </w:t>
                  </w:r>
                  <w:r w:rsidR="00E80ACE" w:rsidRPr="00B5003E">
                    <w:rPr>
                      <w:rFonts w:eastAsia="Arial Unicode MS"/>
                      <w:bCs/>
                      <w:sz w:val="24"/>
                      <w:szCs w:val="24"/>
                    </w:rPr>
                    <w:t>Net income after tax</w:t>
                  </w:r>
                </w:p>
                <w:p w:rsidR="00CF5640" w:rsidRDefault="00E80ACE" w:rsidP="00E80ACE">
                  <w:r>
                    <w:tab/>
                  </w:r>
                  <w:r>
                    <w:tab/>
                  </w:r>
                  <w:r>
                    <w:tab/>
                  </w:r>
                  <w:r>
                    <w:tab/>
                  </w:r>
                </w:p>
                <w:p w:rsidR="00E80ACE" w:rsidRDefault="00E80ACE" w:rsidP="00E80ACE">
                  <w:r>
                    <w:tab/>
                  </w:r>
                  <w:r>
                    <w:tab/>
                  </w:r>
                  <w:r>
                    <w:tab/>
                  </w:r>
                  <w:r>
                    <w:tab/>
                    <w:t xml:space="preserve">   Total Equity</w:t>
                  </w:r>
                </w:p>
              </w:txbxContent>
            </v:textbox>
          </v:roundrect>
        </w:pict>
      </w:r>
    </w:p>
    <w:p w:rsidR="00000088" w:rsidRDefault="00000088" w:rsidP="00000088">
      <w:pPr>
        <w:rPr>
          <w:sz w:val="24"/>
          <w:szCs w:val="24"/>
        </w:rPr>
      </w:pPr>
    </w:p>
    <w:p w:rsidR="00000088" w:rsidRDefault="00000088" w:rsidP="00000088">
      <w:pPr>
        <w:rPr>
          <w:sz w:val="24"/>
          <w:szCs w:val="24"/>
        </w:rPr>
      </w:pPr>
      <w:r>
        <w:rPr>
          <w:noProof/>
          <w:sz w:val="24"/>
          <w:szCs w:val="24"/>
        </w:rPr>
        <w:pict>
          <v:shapetype id="_x0000_t32" coordsize="21600,21600" o:spt="32" o:oned="t" path="m,l21600,21600e" filled="f">
            <v:path arrowok="t" fillok="f" o:connecttype="none"/>
            <o:lock v:ext="edit" shapetype="t"/>
          </v:shapetype>
          <v:shape id="_x0000_s1097" type="#_x0000_t32" style="position:absolute;margin-left:246.05pt;margin-top:10.1pt;width:97.65pt;height:0;z-index:251702272" o:connectortype="straight"/>
        </w:pict>
      </w:r>
    </w:p>
    <w:p w:rsidR="00000088" w:rsidRDefault="00000088" w:rsidP="00000088">
      <w:pPr>
        <w:rPr>
          <w:sz w:val="24"/>
          <w:szCs w:val="24"/>
        </w:rPr>
      </w:pPr>
    </w:p>
    <w:p w:rsidR="00000088" w:rsidRDefault="00000088" w:rsidP="00000088">
      <w:pPr>
        <w:rPr>
          <w:sz w:val="24"/>
          <w:szCs w:val="24"/>
        </w:rPr>
      </w:pPr>
    </w:p>
    <w:p w:rsidR="00000088" w:rsidRDefault="00000088" w:rsidP="00000088">
      <w:pPr>
        <w:rPr>
          <w:sz w:val="24"/>
          <w:szCs w:val="24"/>
        </w:rPr>
      </w:pPr>
    </w:p>
    <w:p w:rsidR="00000088" w:rsidRDefault="00000088" w:rsidP="00000088">
      <w:pPr>
        <w:rPr>
          <w:sz w:val="24"/>
          <w:szCs w:val="24"/>
        </w:rPr>
      </w:pPr>
    </w:p>
    <w:p w:rsidR="00000088" w:rsidRDefault="00000088" w:rsidP="00000088">
      <w:pPr>
        <w:rPr>
          <w:sz w:val="24"/>
          <w:szCs w:val="24"/>
        </w:rPr>
      </w:pPr>
    </w:p>
    <w:p w:rsidR="00000088" w:rsidRPr="00E80ACE" w:rsidRDefault="00000088" w:rsidP="00000088">
      <w:pPr>
        <w:rPr>
          <w:b/>
          <w:sz w:val="24"/>
          <w:szCs w:val="24"/>
        </w:rPr>
      </w:pPr>
      <w:bookmarkStart w:id="2" w:name="page5"/>
      <w:bookmarkEnd w:id="2"/>
      <w:r w:rsidRPr="00E80ACE">
        <w:rPr>
          <w:rFonts w:eastAsia="Arial Unicode MS"/>
          <w:b/>
          <w:bCs/>
          <w:sz w:val="24"/>
          <w:szCs w:val="24"/>
        </w:rPr>
        <w:t>Current Ratio (CR)</w:t>
      </w:r>
    </w:p>
    <w:p w:rsidR="00E80ACE" w:rsidRDefault="00000088" w:rsidP="00E80ACE">
      <w:pPr>
        <w:ind w:right="100" w:firstLine="566"/>
        <w:jc w:val="both"/>
        <w:rPr>
          <w:sz w:val="24"/>
          <w:szCs w:val="24"/>
        </w:rPr>
      </w:pPr>
      <w:r w:rsidRPr="00B5003E">
        <w:rPr>
          <w:rFonts w:eastAsia="Arial Unicode MS"/>
          <w:bCs/>
          <w:i/>
          <w:iCs/>
          <w:sz w:val="24"/>
          <w:szCs w:val="24"/>
        </w:rPr>
        <w:t xml:space="preserve">Current Ratio </w:t>
      </w:r>
      <w:proofErr w:type="gramStart"/>
      <w:r w:rsidRPr="00B5003E">
        <w:rPr>
          <w:rFonts w:eastAsia="Arial Unicode MS"/>
          <w:bCs/>
          <w:i/>
          <w:iCs/>
          <w:sz w:val="24"/>
          <w:szCs w:val="24"/>
        </w:rPr>
        <w:t xml:space="preserve">( </w:t>
      </w:r>
      <w:r w:rsidRPr="00B5003E">
        <w:rPr>
          <w:rFonts w:eastAsia="Arial Unicode MS"/>
          <w:bCs/>
          <w:sz w:val="24"/>
          <w:szCs w:val="24"/>
        </w:rPr>
        <w:t>CR</w:t>
      </w:r>
      <w:proofErr w:type="gramEnd"/>
      <w:r w:rsidRPr="00B5003E">
        <w:rPr>
          <w:rFonts w:eastAsia="Arial Unicode MS"/>
          <w:bCs/>
          <w:sz w:val="24"/>
          <w:szCs w:val="24"/>
        </w:rPr>
        <w:t xml:space="preserve">) is included in the liquidity ratio. Liquidity ratio is the ability of a company to meet </w:t>
      </w:r>
      <w:proofErr w:type="spellStart"/>
      <w:r w:rsidRPr="00B5003E">
        <w:rPr>
          <w:rFonts w:eastAsia="Arial Unicode MS"/>
          <w:bCs/>
          <w:sz w:val="24"/>
          <w:szCs w:val="24"/>
        </w:rPr>
        <w:t>itsshort</w:t>
      </w:r>
      <w:proofErr w:type="spellEnd"/>
      <w:r w:rsidRPr="00B5003E">
        <w:rPr>
          <w:rFonts w:eastAsia="Arial Unicode MS"/>
          <w:bCs/>
          <w:sz w:val="24"/>
          <w:szCs w:val="24"/>
        </w:rPr>
        <w:t>-term obligations in a timely manner. Liquidity, often referred to as the working capital ratio, is the ratio used to measure how liquid a company is.</w:t>
      </w:r>
    </w:p>
    <w:p w:rsidR="00E80ACE" w:rsidRDefault="00000088" w:rsidP="00E80ACE">
      <w:pPr>
        <w:ind w:right="100" w:firstLine="566"/>
        <w:jc w:val="both"/>
        <w:rPr>
          <w:sz w:val="24"/>
          <w:szCs w:val="24"/>
        </w:rPr>
      </w:pPr>
      <w:r w:rsidRPr="00B5003E">
        <w:rPr>
          <w:rFonts w:eastAsia="Arial Unicode MS"/>
          <w:bCs/>
          <w:sz w:val="24"/>
          <w:szCs w:val="24"/>
        </w:rPr>
        <w:t>According to (</w:t>
      </w:r>
      <w:proofErr w:type="spellStart"/>
      <w:r w:rsidRPr="00B5003E">
        <w:rPr>
          <w:rFonts w:eastAsia="Arial Unicode MS"/>
          <w:bCs/>
          <w:sz w:val="24"/>
          <w:szCs w:val="24"/>
        </w:rPr>
        <w:t>Kasmir</w:t>
      </w:r>
      <w:proofErr w:type="spellEnd"/>
      <w:r w:rsidRPr="00B5003E">
        <w:rPr>
          <w:rFonts w:eastAsia="Arial Unicode MS"/>
          <w:bCs/>
          <w:sz w:val="24"/>
          <w:szCs w:val="24"/>
        </w:rPr>
        <w:t xml:space="preserve">, 2018, p. 134) states that: </w:t>
      </w:r>
      <w:r w:rsidRPr="00B5003E">
        <w:rPr>
          <w:rFonts w:eastAsia="Arial Unicode MS"/>
          <w:bCs/>
          <w:i/>
          <w:iCs/>
          <w:sz w:val="24"/>
          <w:szCs w:val="24"/>
        </w:rPr>
        <w:t>Current Ratio</w:t>
      </w:r>
      <w:r w:rsidRPr="00B5003E">
        <w:rPr>
          <w:rFonts w:eastAsia="Arial Unicode MS"/>
          <w:bCs/>
          <w:sz w:val="24"/>
          <w:szCs w:val="24"/>
        </w:rPr>
        <w:t xml:space="preserve"> is the ratio to measure the company's ability to pay short-term obligations or debt that is due immediately when collected in full or debt that is due immediately when collected in its entirety. How many current assets are available to cover short-term liabilities that are due </w:t>
      </w:r>
      <w:proofErr w:type="gramStart"/>
      <w:r w:rsidRPr="00B5003E">
        <w:rPr>
          <w:rFonts w:eastAsia="Arial Unicode MS"/>
          <w:bCs/>
          <w:sz w:val="24"/>
          <w:szCs w:val="24"/>
        </w:rPr>
        <w:t>soon.</w:t>
      </w:r>
      <w:proofErr w:type="gramEnd"/>
      <w:r w:rsidRPr="00B5003E">
        <w:rPr>
          <w:rFonts w:eastAsia="Arial Unicode MS"/>
          <w:bCs/>
          <w:sz w:val="24"/>
          <w:szCs w:val="24"/>
        </w:rPr>
        <w:t xml:space="preserve"> Current ratio can also be said as a form to measure the level of security of a company.</w:t>
      </w:r>
    </w:p>
    <w:p w:rsidR="00000088" w:rsidRPr="00B5003E" w:rsidRDefault="00000088" w:rsidP="00E80ACE">
      <w:pPr>
        <w:ind w:right="100" w:firstLine="566"/>
        <w:jc w:val="both"/>
        <w:rPr>
          <w:sz w:val="24"/>
          <w:szCs w:val="24"/>
        </w:rPr>
      </w:pPr>
      <w:r w:rsidRPr="00B5003E">
        <w:rPr>
          <w:rFonts w:eastAsia="Arial Unicode MS"/>
          <w:bCs/>
          <w:sz w:val="24"/>
          <w:szCs w:val="24"/>
        </w:rPr>
        <w:t>According to (</w:t>
      </w:r>
      <w:proofErr w:type="spellStart"/>
      <w:r w:rsidRPr="00B5003E">
        <w:rPr>
          <w:rFonts w:eastAsia="Arial Unicode MS"/>
          <w:bCs/>
          <w:sz w:val="24"/>
          <w:szCs w:val="24"/>
        </w:rPr>
        <w:t>Fahmi</w:t>
      </w:r>
      <w:proofErr w:type="spellEnd"/>
      <w:r w:rsidRPr="00B5003E">
        <w:rPr>
          <w:rFonts w:eastAsia="Arial Unicode MS"/>
          <w:bCs/>
          <w:sz w:val="24"/>
          <w:szCs w:val="24"/>
        </w:rPr>
        <w:t xml:space="preserve">, 2017, p. 121) states that: </w:t>
      </w:r>
      <w:proofErr w:type="gramStart"/>
      <w:r w:rsidRPr="00B5003E">
        <w:rPr>
          <w:rFonts w:eastAsia="Arial Unicode MS"/>
          <w:bCs/>
          <w:sz w:val="24"/>
          <w:szCs w:val="24"/>
        </w:rPr>
        <w:t xml:space="preserve">" </w:t>
      </w:r>
      <w:r w:rsidRPr="00B5003E">
        <w:rPr>
          <w:rFonts w:eastAsia="Arial Unicode MS"/>
          <w:bCs/>
          <w:i/>
          <w:iCs/>
          <w:sz w:val="24"/>
          <w:szCs w:val="24"/>
        </w:rPr>
        <w:t>Current</w:t>
      </w:r>
      <w:proofErr w:type="gramEnd"/>
      <w:r w:rsidRPr="00B5003E">
        <w:rPr>
          <w:rFonts w:eastAsia="Arial Unicode MS"/>
          <w:bCs/>
          <w:i/>
          <w:iCs/>
          <w:sz w:val="24"/>
          <w:szCs w:val="24"/>
        </w:rPr>
        <w:t xml:space="preserve"> Ratio</w:t>
      </w:r>
      <w:r w:rsidRPr="00B5003E">
        <w:rPr>
          <w:rFonts w:eastAsia="Arial Unicode MS"/>
          <w:bCs/>
          <w:sz w:val="24"/>
          <w:szCs w:val="24"/>
        </w:rPr>
        <w:t xml:space="preserve"> is a measure commonly used for short-term solvency, the ability of a company to meet its debt needs when it matures. It must be understood that the use of current ratios in analyzing financial statements is only able to provide broad analysis, therefore it is necessary to support a more comprehensive qualitative analysis ".</w:t>
      </w:r>
    </w:p>
    <w:p w:rsidR="00E80ACE" w:rsidRDefault="00000088" w:rsidP="00E80ACE">
      <w:pPr>
        <w:ind w:right="80" w:firstLine="566"/>
        <w:jc w:val="both"/>
        <w:rPr>
          <w:sz w:val="24"/>
          <w:szCs w:val="24"/>
        </w:rPr>
      </w:pPr>
      <w:r w:rsidRPr="00B5003E">
        <w:rPr>
          <w:rFonts w:eastAsia="Arial Unicode MS"/>
          <w:bCs/>
          <w:sz w:val="24"/>
          <w:szCs w:val="24"/>
        </w:rPr>
        <w:t xml:space="preserve">“Current ratio ( </w:t>
      </w:r>
      <w:r w:rsidRPr="00B5003E">
        <w:rPr>
          <w:rFonts w:eastAsia="Arial Unicode MS"/>
          <w:bCs/>
          <w:i/>
          <w:iCs/>
          <w:sz w:val="24"/>
          <w:szCs w:val="24"/>
        </w:rPr>
        <w:t>current ratio)</w:t>
      </w:r>
      <w:r w:rsidRPr="00B5003E">
        <w:rPr>
          <w:rFonts w:eastAsia="Arial Unicode MS"/>
          <w:bCs/>
          <w:sz w:val="24"/>
          <w:szCs w:val="24"/>
        </w:rPr>
        <w:t xml:space="preserve"> is the best indicator of the extent to which claims from short-term creditors have been covered by assets that are expected to be converted into cash fairly quickly, this ratio is the most frequently used measure of short-term solvency ”(</w:t>
      </w:r>
      <w:proofErr w:type="spellStart"/>
      <w:r w:rsidRPr="00B5003E">
        <w:rPr>
          <w:rFonts w:eastAsia="Arial Unicode MS"/>
          <w:bCs/>
          <w:sz w:val="24"/>
          <w:szCs w:val="24"/>
        </w:rPr>
        <w:t>Argananta</w:t>
      </w:r>
      <w:proofErr w:type="spellEnd"/>
      <w:r w:rsidRPr="00B5003E">
        <w:rPr>
          <w:rFonts w:eastAsia="Arial Unicode MS"/>
          <w:bCs/>
          <w:sz w:val="24"/>
          <w:szCs w:val="24"/>
        </w:rPr>
        <w:t xml:space="preserve"> &amp; </w:t>
      </w:r>
      <w:proofErr w:type="spellStart"/>
      <w:r w:rsidRPr="00B5003E">
        <w:rPr>
          <w:rFonts w:eastAsia="Arial Unicode MS"/>
          <w:bCs/>
          <w:sz w:val="24"/>
          <w:szCs w:val="24"/>
        </w:rPr>
        <w:t>Hidayat</w:t>
      </w:r>
      <w:proofErr w:type="spellEnd"/>
      <w:r w:rsidRPr="00B5003E">
        <w:rPr>
          <w:rFonts w:eastAsia="Arial Unicode MS"/>
          <w:bCs/>
          <w:sz w:val="24"/>
          <w:szCs w:val="24"/>
        </w:rPr>
        <w:t>, 2017).</w:t>
      </w:r>
    </w:p>
    <w:p w:rsidR="009277AF" w:rsidRDefault="00000088" w:rsidP="009277AF">
      <w:pPr>
        <w:ind w:right="80" w:firstLine="566"/>
        <w:jc w:val="both"/>
        <w:rPr>
          <w:sz w:val="24"/>
          <w:szCs w:val="24"/>
        </w:rPr>
      </w:pPr>
      <w:r w:rsidRPr="00B5003E">
        <w:rPr>
          <w:rFonts w:eastAsia="Arial Unicode MS"/>
          <w:bCs/>
          <w:sz w:val="24"/>
          <w:szCs w:val="24"/>
        </w:rPr>
        <w:t xml:space="preserve">Can be concluded that </w:t>
      </w:r>
      <w:r w:rsidRPr="00B5003E">
        <w:rPr>
          <w:rFonts w:eastAsia="Arial Unicode MS"/>
          <w:bCs/>
          <w:i/>
          <w:iCs/>
          <w:sz w:val="24"/>
          <w:szCs w:val="24"/>
        </w:rPr>
        <w:t>Current Ratio</w:t>
      </w:r>
      <w:r w:rsidRPr="00B5003E">
        <w:rPr>
          <w:rFonts w:eastAsia="Arial Unicode MS"/>
          <w:bCs/>
          <w:sz w:val="24"/>
          <w:szCs w:val="24"/>
        </w:rPr>
        <w:t xml:space="preserve"> is a ratio that aims to measure the ability of a company to meet short-term obligations or total debt that is due immediately when collected as a </w:t>
      </w:r>
      <w:r w:rsidRPr="00B5003E">
        <w:rPr>
          <w:rFonts w:eastAsia="Arial Unicode MS"/>
          <w:bCs/>
          <w:sz w:val="24"/>
          <w:szCs w:val="24"/>
        </w:rPr>
        <w:lastRenderedPageBreak/>
        <w:t xml:space="preserve">whole in accordance with the provisions of the company. </w:t>
      </w:r>
      <w:proofErr w:type="gramStart"/>
      <w:r w:rsidRPr="00B5003E">
        <w:rPr>
          <w:rFonts w:eastAsia="Arial Unicode MS"/>
          <w:bCs/>
          <w:sz w:val="24"/>
          <w:szCs w:val="24"/>
        </w:rPr>
        <w:t>formula</w:t>
      </w:r>
      <w:proofErr w:type="gramEnd"/>
      <w:r w:rsidRPr="00B5003E">
        <w:rPr>
          <w:rFonts w:eastAsia="Arial Unicode MS"/>
          <w:bCs/>
          <w:sz w:val="24"/>
          <w:szCs w:val="24"/>
        </w:rPr>
        <w:t xml:space="preserve"> to find </w:t>
      </w:r>
      <w:r w:rsidRPr="00B5003E">
        <w:rPr>
          <w:rFonts w:eastAsia="Arial Unicode MS"/>
          <w:bCs/>
          <w:i/>
          <w:iCs/>
          <w:sz w:val="24"/>
          <w:szCs w:val="24"/>
        </w:rPr>
        <w:t>Current Ratio</w:t>
      </w:r>
      <w:r w:rsidRPr="00B5003E">
        <w:rPr>
          <w:rFonts w:eastAsia="Arial Unicode MS"/>
          <w:bCs/>
          <w:sz w:val="24"/>
          <w:szCs w:val="24"/>
        </w:rPr>
        <w:t xml:space="preserve"> which can be used as follows:</w:t>
      </w:r>
    </w:p>
    <w:p w:rsidR="009277AF" w:rsidRDefault="009277AF" w:rsidP="009277AF">
      <w:pPr>
        <w:ind w:right="80"/>
        <w:jc w:val="both"/>
        <w:rPr>
          <w:sz w:val="24"/>
          <w:szCs w:val="24"/>
        </w:rPr>
      </w:pPr>
      <w:r>
        <w:rPr>
          <w:noProof/>
          <w:sz w:val="24"/>
          <w:szCs w:val="24"/>
        </w:rPr>
        <w:pict>
          <v:roundrect id="_x0000_s1098" style="position:absolute;left:0;text-align:left;margin-left:96.7pt;margin-top:-8.15pt;width:243.9pt;height:47.6pt;z-index:251703296" arcsize="10923f">
            <v:textbox style="mso-next-textbox:#_x0000_s1098">
              <w:txbxContent>
                <w:p w:rsidR="00E80ACE" w:rsidRPr="00B5003E" w:rsidRDefault="00E80ACE" w:rsidP="00E80ACE">
                  <w:pPr>
                    <w:rPr>
                      <w:sz w:val="24"/>
                      <w:szCs w:val="24"/>
                    </w:rPr>
                  </w:pPr>
                  <w:r w:rsidRPr="00B5003E">
                    <w:rPr>
                      <w:rFonts w:eastAsia="Arial Unicode MS"/>
                      <w:bCs/>
                      <w:i/>
                      <w:iCs/>
                      <w:sz w:val="24"/>
                      <w:szCs w:val="24"/>
                    </w:rPr>
                    <w:t>Current Ratio</w:t>
                  </w:r>
                  <w:r>
                    <w:rPr>
                      <w:rFonts w:eastAsia="Arial Unicode MS"/>
                      <w:bCs/>
                      <w:i/>
                      <w:iCs/>
                      <w:sz w:val="24"/>
                      <w:szCs w:val="24"/>
                    </w:rPr>
                    <w:t xml:space="preserve"> (CR)</w:t>
                  </w:r>
                  <w:r w:rsidRPr="00B5003E">
                    <w:rPr>
                      <w:rFonts w:eastAsia="Arial Unicode MS"/>
                      <w:bCs/>
                      <w:i/>
                      <w:iCs/>
                      <w:sz w:val="24"/>
                      <w:szCs w:val="24"/>
                    </w:rPr>
                    <w:t>) =</w:t>
                  </w:r>
                  <w:r w:rsidRPr="00E80ACE">
                    <w:rPr>
                      <w:rFonts w:eastAsia="Arial Unicode MS"/>
                      <w:bCs/>
                      <w:sz w:val="24"/>
                      <w:szCs w:val="24"/>
                    </w:rPr>
                    <w:t xml:space="preserve"> </w:t>
                  </w:r>
                  <w:r>
                    <w:rPr>
                      <w:rFonts w:eastAsia="Arial Unicode MS"/>
                      <w:bCs/>
                      <w:sz w:val="24"/>
                      <w:szCs w:val="24"/>
                    </w:rPr>
                    <w:t xml:space="preserve">  </w:t>
                  </w:r>
                  <w:r w:rsidRPr="00B5003E">
                    <w:rPr>
                      <w:rFonts w:eastAsia="Arial Unicode MS"/>
                      <w:bCs/>
                      <w:sz w:val="24"/>
                      <w:szCs w:val="24"/>
                    </w:rPr>
                    <w:t>Current Assets</w:t>
                  </w:r>
                </w:p>
                <w:p w:rsidR="00E80ACE" w:rsidRPr="00B5003E" w:rsidRDefault="00E80ACE" w:rsidP="00E80ACE">
                  <w:pPr>
                    <w:ind w:left="2160" w:right="40"/>
                    <w:rPr>
                      <w:sz w:val="24"/>
                      <w:szCs w:val="24"/>
                    </w:rPr>
                  </w:pPr>
                  <w:r>
                    <w:rPr>
                      <w:rFonts w:eastAsia="Arial Unicode MS"/>
                      <w:bCs/>
                      <w:sz w:val="24"/>
                      <w:szCs w:val="24"/>
                    </w:rPr>
                    <w:t xml:space="preserve">  </w:t>
                  </w:r>
                  <w:r w:rsidRPr="00B5003E">
                    <w:rPr>
                      <w:rFonts w:eastAsia="Arial Unicode MS"/>
                      <w:bCs/>
                      <w:sz w:val="24"/>
                      <w:szCs w:val="24"/>
                    </w:rPr>
                    <w:t>Current Liabilities</w:t>
                  </w:r>
                </w:p>
                <w:p w:rsidR="00E80ACE" w:rsidRDefault="00E80ACE" w:rsidP="00E80ACE">
                  <w:pPr>
                    <w:ind w:firstLine="720"/>
                    <w:jc w:val="center"/>
                  </w:pPr>
                </w:p>
              </w:txbxContent>
            </v:textbox>
          </v:roundrect>
        </w:pict>
      </w:r>
      <w:r>
        <w:rPr>
          <w:noProof/>
          <w:sz w:val="24"/>
          <w:szCs w:val="24"/>
        </w:rPr>
        <w:pict>
          <v:shape id="_x0000_s1099" type="#_x0000_t32" style="position:absolute;left:0;text-align:left;margin-left:217.25pt;margin-top:11.95pt;width:99.55pt;height:0;z-index:251704320" o:connectortype="straight"/>
        </w:pict>
      </w:r>
    </w:p>
    <w:p w:rsidR="009277AF" w:rsidRDefault="009277AF" w:rsidP="009277AF">
      <w:pPr>
        <w:ind w:right="80"/>
        <w:jc w:val="both"/>
        <w:rPr>
          <w:sz w:val="24"/>
          <w:szCs w:val="24"/>
        </w:rPr>
      </w:pPr>
    </w:p>
    <w:p w:rsidR="009277AF" w:rsidRDefault="009277AF" w:rsidP="009277AF">
      <w:pPr>
        <w:ind w:right="80"/>
        <w:jc w:val="both"/>
        <w:rPr>
          <w:rFonts w:eastAsia="Arial Unicode MS"/>
          <w:b/>
          <w:bCs/>
          <w:i/>
          <w:iCs/>
          <w:sz w:val="24"/>
          <w:szCs w:val="24"/>
        </w:rPr>
      </w:pPr>
    </w:p>
    <w:p w:rsidR="009277AF" w:rsidRDefault="009277AF" w:rsidP="009277AF">
      <w:pPr>
        <w:ind w:right="80"/>
        <w:jc w:val="both"/>
        <w:rPr>
          <w:rFonts w:eastAsia="Arial Unicode MS"/>
          <w:b/>
          <w:bCs/>
          <w:i/>
          <w:iCs/>
          <w:sz w:val="24"/>
          <w:szCs w:val="24"/>
        </w:rPr>
      </w:pPr>
    </w:p>
    <w:p w:rsidR="009277AF" w:rsidRDefault="00000088" w:rsidP="009277AF">
      <w:pPr>
        <w:ind w:right="80"/>
        <w:jc w:val="both"/>
        <w:rPr>
          <w:sz w:val="24"/>
          <w:szCs w:val="24"/>
        </w:rPr>
      </w:pPr>
      <w:r w:rsidRPr="00B5003E">
        <w:rPr>
          <w:rFonts w:eastAsia="Arial Unicode MS"/>
          <w:b/>
          <w:bCs/>
          <w:i/>
          <w:iCs/>
          <w:sz w:val="24"/>
          <w:szCs w:val="24"/>
        </w:rPr>
        <w:t xml:space="preserve">Debt To Equity Ratio </w:t>
      </w:r>
      <w:proofErr w:type="gramStart"/>
      <w:r w:rsidRPr="00B5003E">
        <w:rPr>
          <w:rFonts w:eastAsia="Arial Unicode MS"/>
          <w:b/>
          <w:bCs/>
          <w:i/>
          <w:iCs/>
          <w:sz w:val="24"/>
          <w:szCs w:val="24"/>
        </w:rPr>
        <w:t xml:space="preserve">( </w:t>
      </w:r>
      <w:r w:rsidRPr="00B5003E">
        <w:rPr>
          <w:rFonts w:eastAsia="Arial Unicode MS"/>
          <w:b/>
          <w:bCs/>
          <w:sz w:val="24"/>
          <w:szCs w:val="24"/>
        </w:rPr>
        <w:t>DER</w:t>
      </w:r>
      <w:proofErr w:type="gramEnd"/>
      <w:r w:rsidRPr="00B5003E">
        <w:rPr>
          <w:rFonts w:eastAsia="Arial Unicode MS"/>
          <w:b/>
          <w:bCs/>
          <w:sz w:val="24"/>
          <w:szCs w:val="24"/>
        </w:rPr>
        <w:t>)</w:t>
      </w:r>
    </w:p>
    <w:p w:rsidR="009277AF" w:rsidRDefault="00000088" w:rsidP="009277AF">
      <w:pPr>
        <w:ind w:right="80" w:firstLine="566"/>
        <w:jc w:val="both"/>
        <w:rPr>
          <w:sz w:val="24"/>
          <w:szCs w:val="24"/>
        </w:rPr>
      </w:pPr>
      <w:r w:rsidRPr="00B5003E">
        <w:rPr>
          <w:rFonts w:eastAsia="Arial Unicode MS"/>
          <w:bCs/>
          <w:sz w:val="24"/>
          <w:szCs w:val="24"/>
        </w:rPr>
        <w:t>According to (</w:t>
      </w:r>
      <w:proofErr w:type="spellStart"/>
      <w:r w:rsidRPr="00B5003E">
        <w:rPr>
          <w:rFonts w:eastAsia="Arial Unicode MS"/>
          <w:bCs/>
          <w:sz w:val="24"/>
          <w:szCs w:val="24"/>
        </w:rPr>
        <w:t>Ekananda</w:t>
      </w:r>
      <w:proofErr w:type="spellEnd"/>
      <w:r w:rsidRPr="00B5003E">
        <w:rPr>
          <w:rFonts w:eastAsia="Arial Unicode MS"/>
          <w:bCs/>
          <w:sz w:val="24"/>
          <w:szCs w:val="24"/>
        </w:rPr>
        <w:t xml:space="preserve">, 2019, p. 460) states </w:t>
      </w:r>
      <w:r w:rsidRPr="00B5003E">
        <w:rPr>
          <w:rFonts w:eastAsia="Arial Unicode MS"/>
          <w:bCs/>
          <w:i/>
          <w:iCs/>
          <w:sz w:val="24"/>
          <w:szCs w:val="24"/>
        </w:rPr>
        <w:t xml:space="preserve">Debt to Equity Ratio </w:t>
      </w:r>
      <w:proofErr w:type="gramStart"/>
      <w:r w:rsidRPr="00B5003E">
        <w:rPr>
          <w:rFonts w:eastAsia="Arial Unicode MS"/>
          <w:bCs/>
          <w:i/>
          <w:iCs/>
          <w:sz w:val="24"/>
          <w:szCs w:val="24"/>
        </w:rPr>
        <w:t>(</w:t>
      </w:r>
      <w:r w:rsidRPr="00B5003E">
        <w:rPr>
          <w:rFonts w:eastAsia="Arial Unicode MS"/>
          <w:bCs/>
          <w:sz w:val="24"/>
          <w:szCs w:val="24"/>
        </w:rPr>
        <w:t xml:space="preserve"> DER</w:t>
      </w:r>
      <w:proofErr w:type="gramEnd"/>
      <w:r w:rsidRPr="00B5003E">
        <w:rPr>
          <w:rFonts w:eastAsia="Arial Unicode MS"/>
          <w:bCs/>
          <w:sz w:val="24"/>
          <w:szCs w:val="24"/>
        </w:rPr>
        <w:t>) Directly will measure the degree of a company's capital, as well as to determine the level of the company's ability to meet its obligations to pay debts, both long-term debt and short-term debt.</w:t>
      </w:r>
    </w:p>
    <w:p w:rsidR="009277AF" w:rsidRDefault="00000088" w:rsidP="009277AF">
      <w:pPr>
        <w:ind w:right="80" w:firstLine="566"/>
        <w:jc w:val="both"/>
        <w:rPr>
          <w:sz w:val="24"/>
          <w:szCs w:val="24"/>
        </w:rPr>
      </w:pPr>
      <w:r w:rsidRPr="00B5003E">
        <w:rPr>
          <w:rFonts w:eastAsia="Arial Unicode MS"/>
          <w:bCs/>
          <w:sz w:val="24"/>
          <w:szCs w:val="24"/>
        </w:rPr>
        <w:t>According to (</w:t>
      </w:r>
      <w:proofErr w:type="spellStart"/>
      <w:r w:rsidRPr="00B5003E">
        <w:rPr>
          <w:rFonts w:eastAsia="Arial Unicode MS"/>
          <w:bCs/>
          <w:sz w:val="24"/>
          <w:szCs w:val="24"/>
        </w:rPr>
        <w:t>Kasmir</w:t>
      </w:r>
      <w:proofErr w:type="spellEnd"/>
      <w:r w:rsidRPr="00B5003E">
        <w:rPr>
          <w:rFonts w:eastAsia="Arial Unicode MS"/>
          <w:bCs/>
          <w:sz w:val="24"/>
          <w:szCs w:val="24"/>
        </w:rPr>
        <w:t xml:space="preserve">, 2018, p. 157) states that </w:t>
      </w:r>
      <w:r w:rsidRPr="00B5003E">
        <w:rPr>
          <w:rFonts w:eastAsia="Arial Unicode MS"/>
          <w:bCs/>
          <w:i/>
          <w:iCs/>
          <w:sz w:val="24"/>
          <w:szCs w:val="24"/>
        </w:rPr>
        <w:t xml:space="preserve">Debt to Equity Ratio </w:t>
      </w:r>
      <w:proofErr w:type="gramStart"/>
      <w:r w:rsidRPr="00B5003E">
        <w:rPr>
          <w:rFonts w:eastAsia="Arial Unicode MS"/>
          <w:bCs/>
          <w:i/>
          <w:iCs/>
          <w:sz w:val="24"/>
          <w:szCs w:val="24"/>
        </w:rPr>
        <w:t>(</w:t>
      </w:r>
      <w:r w:rsidRPr="00B5003E">
        <w:rPr>
          <w:rFonts w:eastAsia="Arial Unicode MS"/>
          <w:bCs/>
          <w:sz w:val="24"/>
          <w:szCs w:val="24"/>
        </w:rPr>
        <w:t xml:space="preserve"> DER</w:t>
      </w:r>
      <w:proofErr w:type="gramEnd"/>
      <w:r w:rsidRPr="00B5003E">
        <w:rPr>
          <w:rFonts w:eastAsia="Arial Unicode MS"/>
          <w:bCs/>
          <w:sz w:val="24"/>
          <w:szCs w:val="24"/>
        </w:rPr>
        <w:t xml:space="preserve">) is a </w:t>
      </w:r>
      <w:proofErr w:type="spellStart"/>
      <w:r w:rsidRPr="00B5003E">
        <w:rPr>
          <w:rFonts w:eastAsia="Arial Unicode MS"/>
          <w:bCs/>
          <w:sz w:val="24"/>
          <w:szCs w:val="24"/>
        </w:rPr>
        <w:t>rasui</w:t>
      </w:r>
      <w:proofErr w:type="spellEnd"/>
      <w:r w:rsidRPr="00B5003E">
        <w:rPr>
          <w:rFonts w:eastAsia="Arial Unicode MS"/>
          <w:bCs/>
          <w:sz w:val="24"/>
          <w:szCs w:val="24"/>
        </w:rPr>
        <w:t xml:space="preserve"> that is used to value debt with equity. This ratio is sought by comparing all debt, including current debt, and total equity.</w:t>
      </w:r>
    </w:p>
    <w:p w:rsidR="009277AF" w:rsidRDefault="00000088" w:rsidP="009277AF">
      <w:pPr>
        <w:ind w:right="80" w:firstLine="566"/>
        <w:jc w:val="both"/>
        <w:rPr>
          <w:rFonts w:eastAsia="Arial Unicode MS"/>
          <w:bCs/>
          <w:sz w:val="24"/>
          <w:szCs w:val="24"/>
        </w:rPr>
      </w:pPr>
      <w:r w:rsidRPr="00B5003E">
        <w:rPr>
          <w:rFonts w:eastAsia="Arial Unicode MS"/>
          <w:bCs/>
          <w:sz w:val="24"/>
          <w:szCs w:val="24"/>
        </w:rPr>
        <w:t>According to (</w:t>
      </w:r>
      <w:proofErr w:type="spellStart"/>
      <w:r w:rsidRPr="00B5003E">
        <w:rPr>
          <w:rFonts w:eastAsia="Arial Unicode MS"/>
          <w:bCs/>
          <w:sz w:val="24"/>
          <w:szCs w:val="24"/>
        </w:rPr>
        <w:t>Fahmi</w:t>
      </w:r>
      <w:proofErr w:type="spellEnd"/>
      <w:r w:rsidRPr="00B5003E">
        <w:rPr>
          <w:rFonts w:eastAsia="Arial Unicode MS"/>
          <w:bCs/>
          <w:sz w:val="24"/>
          <w:szCs w:val="24"/>
        </w:rPr>
        <w:t xml:space="preserve">, 2017, p. 127) states that it will measure the degree of debt to equity ratio ( </w:t>
      </w:r>
      <w:r w:rsidRPr="00B5003E">
        <w:rPr>
          <w:rFonts w:eastAsia="Arial Unicode MS"/>
          <w:bCs/>
          <w:i/>
          <w:iCs/>
          <w:sz w:val="24"/>
          <w:szCs w:val="24"/>
        </w:rPr>
        <w:t xml:space="preserve">Debt </w:t>
      </w:r>
      <w:proofErr w:type="spellStart"/>
      <w:r w:rsidRPr="00B5003E">
        <w:rPr>
          <w:rFonts w:eastAsia="Arial Unicode MS"/>
          <w:bCs/>
          <w:i/>
          <w:iCs/>
          <w:sz w:val="24"/>
          <w:szCs w:val="24"/>
        </w:rPr>
        <w:t>toEquity</w:t>
      </w:r>
      <w:proofErr w:type="spellEnd"/>
      <w:r w:rsidRPr="00B5003E">
        <w:rPr>
          <w:rFonts w:eastAsia="Arial Unicode MS"/>
          <w:bCs/>
          <w:i/>
          <w:iCs/>
          <w:sz w:val="24"/>
          <w:szCs w:val="24"/>
        </w:rPr>
        <w:t xml:space="preserve"> Ratio) </w:t>
      </w:r>
      <w:r w:rsidRPr="00B5003E">
        <w:rPr>
          <w:rFonts w:eastAsia="Arial Unicode MS"/>
          <w:bCs/>
          <w:sz w:val="24"/>
          <w:szCs w:val="24"/>
        </w:rPr>
        <w:t xml:space="preserve">It will directly measure the degree of a company's capital, as well as to determine the level </w:t>
      </w:r>
      <w:proofErr w:type="spellStart"/>
      <w:r w:rsidRPr="00B5003E">
        <w:rPr>
          <w:rFonts w:eastAsia="Arial Unicode MS"/>
          <w:bCs/>
          <w:sz w:val="24"/>
          <w:szCs w:val="24"/>
        </w:rPr>
        <w:t>ofthe</w:t>
      </w:r>
      <w:proofErr w:type="spellEnd"/>
      <w:r w:rsidRPr="00B5003E">
        <w:rPr>
          <w:rFonts w:eastAsia="Arial Unicode MS"/>
          <w:bCs/>
          <w:sz w:val="24"/>
          <w:szCs w:val="24"/>
        </w:rPr>
        <w:t xml:space="preserve"> company's ability to meet its obligations to pay debt, both long-term debt and short-term debt.</w:t>
      </w:r>
    </w:p>
    <w:p w:rsidR="009277AF" w:rsidRDefault="00000088" w:rsidP="009277AF">
      <w:pPr>
        <w:ind w:right="80" w:firstLine="566"/>
        <w:jc w:val="both"/>
        <w:rPr>
          <w:sz w:val="24"/>
          <w:szCs w:val="24"/>
        </w:rPr>
      </w:pPr>
      <w:r w:rsidRPr="00B5003E">
        <w:rPr>
          <w:rFonts w:eastAsia="Arial Unicode MS"/>
          <w:bCs/>
          <w:sz w:val="24"/>
          <w:szCs w:val="24"/>
        </w:rPr>
        <w:t xml:space="preserve">Can be concluded that </w:t>
      </w:r>
      <w:r w:rsidRPr="00B5003E">
        <w:rPr>
          <w:rFonts w:eastAsia="Arial Unicode MS"/>
          <w:bCs/>
          <w:i/>
          <w:iCs/>
          <w:sz w:val="24"/>
          <w:szCs w:val="24"/>
        </w:rPr>
        <w:t>Debt to Equity Ratio</w:t>
      </w:r>
      <w:r w:rsidRPr="00B5003E">
        <w:rPr>
          <w:rFonts w:eastAsia="Arial Unicode MS"/>
          <w:bCs/>
          <w:sz w:val="24"/>
          <w:szCs w:val="24"/>
        </w:rPr>
        <w:t xml:space="preserve"> is a ratio that can be used to calculate and assess debt to equity from each amount that is used as collateral for the total debt. This ratio can be used to measure the company in compliance</w:t>
      </w:r>
      <w:bookmarkStart w:id="3" w:name="page6"/>
      <w:bookmarkEnd w:id="3"/>
      <w:r w:rsidR="009277AF">
        <w:rPr>
          <w:rFonts w:eastAsia="Arial Unicode MS"/>
          <w:bCs/>
          <w:sz w:val="24"/>
          <w:szCs w:val="24"/>
        </w:rPr>
        <w:t xml:space="preserve"> </w:t>
      </w:r>
      <w:r w:rsidRPr="00B5003E">
        <w:rPr>
          <w:rFonts w:eastAsia="Arial Unicode MS"/>
          <w:bCs/>
          <w:sz w:val="24"/>
          <w:szCs w:val="24"/>
        </w:rPr>
        <w:t xml:space="preserve">all short-term and long-term liabilities of the company. </w:t>
      </w:r>
      <w:proofErr w:type="gramStart"/>
      <w:r w:rsidRPr="00B5003E">
        <w:rPr>
          <w:rFonts w:eastAsia="Arial Unicode MS"/>
          <w:bCs/>
          <w:sz w:val="24"/>
          <w:szCs w:val="24"/>
        </w:rPr>
        <w:t>formula</w:t>
      </w:r>
      <w:proofErr w:type="gramEnd"/>
      <w:r w:rsidRPr="00B5003E">
        <w:rPr>
          <w:rFonts w:eastAsia="Arial Unicode MS"/>
          <w:bCs/>
          <w:sz w:val="24"/>
          <w:szCs w:val="24"/>
        </w:rPr>
        <w:t xml:space="preserve"> used to measure </w:t>
      </w:r>
      <w:r w:rsidRPr="00B5003E">
        <w:rPr>
          <w:rFonts w:eastAsia="Arial Unicode MS"/>
          <w:bCs/>
          <w:i/>
          <w:iCs/>
          <w:sz w:val="24"/>
          <w:szCs w:val="24"/>
        </w:rPr>
        <w:t>Debt to Equity Ratio</w:t>
      </w:r>
      <w:r w:rsidRPr="00B5003E">
        <w:rPr>
          <w:rFonts w:eastAsia="Arial Unicode MS"/>
          <w:bCs/>
          <w:sz w:val="24"/>
          <w:szCs w:val="24"/>
        </w:rPr>
        <w:t xml:space="preserve"> are as follows:</w:t>
      </w:r>
    </w:p>
    <w:p w:rsidR="009277AF" w:rsidRDefault="009277AF" w:rsidP="009277AF">
      <w:pPr>
        <w:ind w:right="80" w:firstLine="566"/>
        <w:jc w:val="both"/>
        <w:rPr>
          <w:sz w:val="24"/>
          <w:szCs w:val="24"/>
        </w:rPr>
      </w:pPr>
    </w:p>
    <w:p w:rsidR="009277AF" w:rsidRDefault="009277AF" w:rsidP="009277AF">
      <w:pPr>
        <w:ind w:right="80" w:firstLine="566"/>
        <w:jc w:val="both"/>
        <w:rPr>
          <w:sz w:val="24"/>
          <w:szCs w:val="24"/>
        </w:rPr>
      </w:pPr>
      <w:r>
        <w:rPr>
          <w:noProof/>
          <w:sz w:val="24"/>
          <w:szCs w:val="24"/>
        </w:rPr>
        <w:pict>
          <v:roundrect id="_x0000_s1100" style="position:absolute;left:0;text-align:left;margin-left:119.85pt;margin-top:5.75pt;width:250.95pt;height:47.6pt;z-index:251705344" arcsize="10923f">
            <v:textbox style="mso-next-textbox:#_x0000_s1100">
              <w:txbxContent>
                <w:p w:rsidR="009277AF" w:rsidRPr="00B5003E" w:rsidRDefault="009277AF" w:rsidP="009277AF">
                  <w:pPr>
                    <w:rPr>
                      <w:sz w:val="24"/>
                      <w:szCs w:val="24"/>
                    </w:rPr>
                  </w:pPr>
                  <w:r w:rsidRPr="00B5003E">
                    <w:rPr>
                      <w:rFonts w:eastAsia="Arial Unicode MS"/>
                      <w:bCs/>
                      <w:i/>
                      <w:iCs/>
                      <w:sz w:val="24"/>
                      <w:szCs w:val="24"/>
                    </w:rPr>
                    <w:t xml:space="preserve">Debt To Equity Ratio </w:t>
                  </w:r>
                  <w:proofErr w:type="gramStart"/>
                  <w:r w:rsidRPr="00B5003E">
                    <w:rPr>
                      <w:rFonts w:eastAsia="Arial Unicode MS"/>
                      <w:bCs/>
                      <w:i/>
                      <w:iCs/>
                      <w:sz w:val="24"/>
                      <w:szCs w:val="24"/>
                    </w:rPr>
                    <w:t xml:space="preserve">( </w:t>
                  </w:r>
                  <w:r w:rsidRPr="00B5003E">
                    <w:rPr>
                      <w:rFonts w:eastAsia="Arial Unicode MS"/>
                      <w:bCs/>
                      <w:sz w:val="24"/>
                      <w:szCs w:val="24"/>
                    </w:rPr>
                    <w:t>DER</w:t>
                  </w:r>
                  <w:proofErr w:type="gramEnd"/>
                  <w:r w:rsidRPr="00B5003E">
                    <w:rPr>
                      <w:rFonts w:eastAsia="Arial Unicode MS"/>
                      <w:bCs/>
                      <w:sz w:val="24"/>
                      <w:szCs w:val="24"/>
                    </w:rPr>
                    <w:t xml:space="preserve">) </w:t>
                  </w:r>
                  <w:r w:rsidRPr="00B5003E">
                    <w:rPr>
                      <w:rFonts w:eastAsia="Arial Unicode MS"/>
                      <w:bCs/>
                      <w:i/>
                      <w:iCs/>
                      <w:sz w:val="24"/>
                      <w:szCs w:val="24"/>
                    </w:rPr>
                    <w:t xml:space="preserve"> =</w:t>
                  </w:r>
                  <w:r w:rsidRPr="00E80ACE">
                    <w:rPr>
                      <w:rFonts w:eastAsia="Arial Unicode MS"/>
                      <w:bCs/>
                      <w:sz w:val="24"/>
                      <w:szCs w:val="24"/>
                    </w:rPr>
                    <w:t xml:space="preserve"> </w:t>
                  </w:r>
                  <w:r>
                    <w:rPr>
                      <w:rFonts w:eastAsia="Arial Unicode MS"/>
                      <w:bCs/>
                      <w:sz w:val="24"/>
                      <w:szCs w:val="24"/>
                    </w:rPr>
                    <w:t xml:space="preserve">  </w:t>
                  </w:r>
                  <w:r w:rsidRPr="00B5003E">
                    <w:rPr>
                      <w:rFonts w:eastAsia="Arial Unicode MS"/>
                      <w:bCs/>
                      <w:sz w:val="24"/>
                      <w:szCs w:val="24"/>
                    </w:rPr>
                    <w:t>Total Debt</w:t>
                  </w:r>
                </w:p>
                <w:p w:rsidR="009277AF" w:rsidRPr="00B5003E" w:rsidRDefault="009277AF" w:rsidP="009277AF">
                  <w:pPr>
                    <w:rPr>
                      <w:sz w:val="24"/>
                      <w:szCs w:val="24"/>
                    </w:rPr>
                  </w:pPr>
                  <w:r>
                    <w:rPr>
                      <w:rFonts w:eastAsia="Arial Unicode MS"/>
                      <w:bCs/>
                      <w:sz w:val="24"/>
                      <w:szCs w:val="24"/>
                    </w:rPr>
                    <w:t xml:space="preserve">  </w:t>
                  </w:r>
                  <w:r>
                    <w:rPr>
                      <w:rFonts w:eastAsia="Arial Unicode MS"/>
                      <w:bCs/>
                      <w:sz w:val="24"/>
                      <w:szCs w:val="24"/>
                    </w:rPr>
                    <w:tab/>
                  </w:r>
                  <w:r>
                    <w:rPr>
                      <w:rFonts w:eastAsia="Arial Unicode MS"/>
                      <w:bCs/>
                      <w:sz w:val="24"/>
                      <w:szCs w:val="24"/>
                    </w:rPr>
                    <w:tab/>
                  </w:r>
                  <w:r>
                    <w:rPr>
                      <w:rFonts w:eastAsia="Arial Unicode MS"/>
                      <w:bCs/>
                      <w:sz w:val="24"/>
                      <w:szCs w:val="24"/>
                    </w:rPr>
                    <w:tab/>
                  </w:r>
                  <w:r>
                    <w:rPr>
                      <w:rFonts w:eastAsia="Arial Unicode MS"/>
                      <w:bCs/>
                      <w:sz w:val="24"/>
                      <w:szCs w:val="24"/>
                    </w:rPr>
                    <w:tab/>
                    <w:t xml:space="preserve">     Total Equity</w:t>
                  </w:r>
                </w:p>
                <w:p w:rsidR="009277AF" w:rsidRDefault="009277AF" w:rsidP="009277AF">
                  <w:pPr>
                    <w:ind w:firstLine="720"/>
                    <w:jc w:val="center"/>
                  </w:pPr>
                </w:p>
              </w:txbxContent>
            </v:textbox>
          </v:roundrect>
        </w:pict>
      </w:r>
    </w:p>
    <w:p w:rsidR="009277AF" w:rsidRDefault="009277AF" w:rsidP="009277AF">
      <w:pPr>
        <w:ind w:right="80" w:firstLine="566"/>
        <w:jc w:val="both"/>
        <w:rPr>
          <w:sz w:val="24"/>
          <w:szCs w:val="24"/>
        </w:rPr>
      </w:pPr>
      <w:r>
        <w:rPr>
          <w:noProof/>
          <w:sz w:val="24"/>
          <w:szCs w:val="24"/>
        </w:rPr>
        <w:pict>
          <v:shape id="_x0000_s1101" type="#_x0000_t32" style="position:absolute;left:0;text-align:left;margin-left:4in;margin-top:11.95pt;width:67.6pt;height:0;z-index:251706368" o:connectortype="straight"/>
        </w:pict>
      </w:r>
    </w:p>
    <w:p w:rsidR="009277AF" w:rsidRDefault="009277AF" w:rsidP="009277AF">
      <w:pPr>
        <w:ind w:right="80" w:firstLine="566"/>
        <w:jc w:val="both"/>
        <w:rPr>
          <w:sz w:val="24"/>
          <w:szCs w:val="24"/>
        </w:rPr>
      </w:pPr>
    </w:p>
    <w:p w:rsidR="009277AF" w:rsidRDefault="009277AF" w:rsidP="009277AF">
      <w:pPr>
        <w:ind w:right="80" w:firstLine="566"/>
        <w:jc w:val="both"/>
        <w:rPr>
          <w:sz w:val="24"/>
          <w:szCs w:val="24"/>
        </w:rPr>
      </w:pPr>
    </w:p>
    <w:p w:rsidR="009277AF" w:rsidRDefault="009277AF" w:rsidP="009277AF">
      <w:pPr>
        <w:ind w:right="80" w:firstLine="566"/>
        <w:jc w:val="both"/>
        <w:rPr>
          <w:rFonts w:eastAsia="Arial Unicode MS"/>
          <w:b/>
          <w:bCs/>
          <w:sz w:val="24"/>
          <w:szCs w:val="24"/>
        </w:rPr>
      </w:pPr>
    </w:p>
    <w:p w:rsidR="009277AF" w:rsidRDefault="00000088" w:rsidP="009277AF">
      <w:pPr>
        <w:ind w:right="80" w:firstLine="566"/>
        <w:jc w:val="both"/>
        <w:rPr>
          <w:sz w:val="24"/>
          <w:szCs w:val="24"/>
        </w:rPr>
      </w:pPr>
      <w:r w:rsidRPr="00B5003E">
        <w:rPr>
          <w:rFonts w:eastAsia="Arial Unicode MS"/>
          <w:b/>
          <w:bCs/>
          <w:sz w:val="24"/>
          <w:szCs w:val="24"/>
        </w:rPr>
        <w:t>Total Asset Turnover (TATO)</w:t>
      </w:r>
    </w:p>
    <w:p w:rsidR="009277AF" w:rsidRDefault="00000088" w:rsidP="009277AF">
      <w:pPr>
        <w:ind w:right="80" w:firstLine="566"/>
        <w:jc w:val="both"/>
        <w:rPr>
          <w:sz w:val="24"/>
          <w:szCs w:val="24"/>
        </w:rPr>
      </w:pPr>
      <w:r w:rsidRPr="00B5003E">
        <w:rPr>
          <w:rFonts w:eastAsia="Arial Unicode MS"/>
          <w:bCs/>
          <w:sz w:val="24"/>
          <w:szCs w:val="24"/>
        </w:rPr>
        <w:t xml:space="preserve">The activity ratio is the ratio used to measure the effectiveness of the company in using the activities of the company in using its assets. The use of the activity ratio is by comparing the level of sales with investment in assets for one </w:t>
      </w:r>
      <w:proofErr w:type="gramStart"/>
      <w:r w:rsidRPr="00B5003E">
        <w:rPr>
          <w:rFonts w:eastAsia="Arial Unicode MS"/>
          <w:bCs/>
          <w:sz w:val="24"/>
          <w:szCs w:val="24"/>
        </w:rPr>
        <w:t xml:space="preserve">period </w:t>
      </w:r>
      <w:r w:rsidRPr="00B5003E">
        <w:rPr>
          <w:rFonts w:eastAsia="Arial Unicode MS"/>
          <w:bCs/>
          <w:color w:val="FF0000"/>
          <w:sz w:val="24"/>
          <w:szCs w:val="24"/>
        </w:rPr>
        <w:t>.</w:t>
      </w:r>
      <w:proofErr w:type="gramEnd"/>
    </w:p>
    <w:p w:rsidR="009277AF" w:rsidRDefault="00000088" w:rsidP="009277AF">
      <w:pPr>
        <w:ind w:right="80" w:firstLine="566"/>
        <w:jc w:val="both"/>
        <w:rPr>
          <w:rFonts w:eastAsia="Arial Unicode MS"/>
          <w:bCs/>
          <w:sz w:val="24"/>
          <w:szCs w:val="24"/>
        </w:rPr>
      </w:pPr>
      <w:r w:rsidRPr="00B5003E">
        <w:rPr>
          <w:rFonts w:eastAsia="Arial Unicode MS"/>
          <w:bCs/>
          <w:sz w:val="24"/>
          <w:szCs w:val="24"/>
        </w:rPr>
        <w:t>According to (</w:t>
      </w:r>
      <w:proofErr w:type="spellStart"/>
      <w:r w:rsidRPr="00B5003E">
        <w:rPr>
          <w:rFonts w:eastAsia="Arial Unicode MS"/>
          <w:bCs/>
          <w:sz w:val="24"/>
          <w:szCs w:val="24"/>
        </w:rPr>
        <w:t>Sudana</w:t>
      </w:r>
      <w:proofErr w:type="spellEnd"/>
      <w:r w:rsidRPr="00B5003E">
        <w:rPr>
          <w:rFonts w:eastAsia="Arial Unicode MS"/>
          <w:bCs/>
          <w:sz w:val="24"/>
          <w:szCs w:val="24"/>
        </w:rPr>
        <w:t xml:space="preserve">, 2015, p. 25) states that </w:t>
      </w:r>
      <w:r w:rsidRPr="00B5003E">
        <w:rPr>
          <w:rFonts w:eastAsia="Arial Unicode MS"/>
          <w:bCs/>
          <w:i/>
          <w:iCs/>
          <w:sz w:val="24"/>
          <w:szCs w:val="24"/>
        </w:rPr>
        <w:t>Total Assets Turnover</w:t>
      </w:r>
      <w:r w:rsidRPr="00B5003E">
        <w:rPr>
          <w:rFonts w:eastAsia="Arial Unicode MS"/>
          <w:bCs/>
          <w:sz w:val="24"/>
          <w:szCs w:val="24"/>
        </w:rPr>
        <w:t xml:space="preserve"> is a ratio measuring the effectiveness of the use of all assets in generating </w:t>
      </w:r>
      <w:proofErr w:type="gramStart"/>
      <w:r w:rsidRPr="00B5003E">
        <w:rPr>
          <w:rFonts w:eastAsia="Arial Unicode MS"/>
          <w:bCs/>
          <w:sz w:val="24"/>
          <w:szCs w:val="24"/>
        </w:rPr>
        <w:t>sales,</w:t>
      </w:r>
      <w:proofErr w:type="gramEnd"/>
      <w:r w:rsidRPr="00B5003E">
        <w:rPr>
          <w:rFonts w:eastAsia="Arial Unicode MS"/>
          <w:bCs/>
          <w:sz w:val="24"/>
          <w:szCs w:val="24"/>
        </w:rPr>
        <w:t xml:space="preserve"> and if the greater this ratio means the more effective the management of all assets owned by the company. Meanwhile, according to (</w:t>
      </w:r>
      <w:proofErr w:type="spellStart"/>
      <w:r w:rsidRPr="00B5003E">
        <w:rPr>
          <w:rFonts w:eastAsia="Arial Unicode MS"/>
          <w:bCs/>
          <w:sz w:val="24"/>
          <w:szCs w:val="24"/>
        </w:rPr>
        <w:t>Kasmir</w:t>
      </w:r>
      <w:proofErr w:type="spellEnd"/>
      <w:r w:rsidRPr="00B5003E">
        <w:rPr>
          <w:rFonts w:eastAsia="Arial Unicode MS"/>
          <w:bCs/>
          <w:sz w:val="24"/>
          <w:szCs w:val="24"/>
        </w:rPr>
        <w:t>, 2018, total asset turnover is a ratio used to measure the turnover of all assets owned by the company and measure the amount of sales earned from each rupiah of assets.</w:t>
      </w:r>
    </w:p>
    <w:p w:rsidR="009277AF" w:rsidRDefault="00000088" w:rsidP="009277AF">
      <w:pPr>
        <w:ind w:right="80" w:firstLine="566"/>
        <w:jc w:val="both"/>
        <w:rPr>
          <w:rFonts w:eastAsia="Arial Unicode MS"/>
          <w:bCs/>
          <w:sz w:val="24"/>
          <w:szCs w:val="24"/>
        </w:rPr>
      </w:pPr>
      <w:r w:rsidRPr="00B5003E">
        <w:rPr>
          <w:rFonts w:eastAsia="Arial Unicode MS"/>
          <w:bCs/>
          <w:i/>
          <w:iCs/>
          <w:sz w:val="24"/>
          <w:szCs w:val="24"/>
        </w:rPr>
        <w:t xml:space="preserve">“Total Asset Turnover </w:t>
      </w:r>
      <w:r w:rsidRPr="00B5003E">
        <w:rPr>
          <w:rFonts w:eastAsia="Arial Unicode MS"/>
          <w:bCs/>
          <w:sz w:val="24"/>
          <w:szCs w:val="24"/>
        </w:rPr>
        <w:t xml:space="preserve">is a financial ratio that measures the efficiency of the company's use of </w:t>
      </w:r>
      <w:proofErr w:type="spellStart"/>
      <w:r w:rsidRPr="00B5003E">
        <w:rPr>
          <w:rFonts w:eastAsia="Arial Unicode MS"/>
          <w:bCs/>
          <w:sz w:val="24"/>
          <w:szCs w:val="24"/>
        </w:rPr>
        <w:t>itsassets</w:t>
      </w:r>
      <w:proofErr w:type="spellEnd"/>
      <w:r w:rsidRPr="00B5003E">
        <w:rPr>
          <w:rFonts w:eastAsia="Arial Unicode MS"/>
          <w:bCs/>
          <w:sz w:val="24"/>
          <w:szCs w:val="24"/>
        </w:rPr>
        <w:t xml:space="preserve"> in generating sales revenue or sales revenue to the company, </w:t>
      </w:r>
      <w:r w:rsidRPr="00B5003E">
        <w:rPr>
          <w:rFonts w:eastAsia="Arial Unicode MS"/>
          <w:bCs/>
          <w:i/>
          <w:iCs/>
          <w:sz w:val="24"/>
          <w:szCs w:val="24"/>
        </w:rPr>
        <w:t>Total Assets Turnover</w:t>
      </w:r>
      <w:r w:rsidRPr="00B5003E">
        <w:rPr>
          <w:rFonts w:eastAsia="Arial Unicode MS"/>
          <w:bCs/>
          <w:sz w:val="24"/>
          <w:szCs w:val="24"/>
        </w:rPr>
        <w:t xml:space="preserve"> is a comparison between net sales or net sales with total assets, namely the accumulation of fixed assets and current assets "(</w:t>
      </w:r>
      <w:proofErr w:type="spellStart"/>
      <w:r w:rsidRPr="00B5003E">
        <w:rPr>
          <w:rFonts w:eastAsia="Arial Unicode MS"/>
          <w:bCs/>
          <w:sz w:val="24"/>
          <w:szCs w:val="24"/>
        </w:rPr>
        <w:t>Wahyuni</w:t>
      </w:r>
      <w:proofErr w:type="spellEnd"/>
      <w:r w:rsidRPr="00B5003E">
        <w:rPr>
          <w:rFonts w:eastAsia="Arial Unicode MS"/>
          <w:bCs/>
          <w:sz w:val="24"/>
          <w:szCs w:val="24"/>
        </w:rPr>
        <w:t>, 2017).</w:t>
      </w:r>
    </w:p>
    <w:p w:rsidR="00000088" w:rsidRPr="009277AF" w:rsidRDefault="00000088" w:rsidP="009277AF">
      <w:pPr>
        <w:ind w:right="80" w:firstLine="566"/>
        <w:jc w:val="both"/>
        <w:rPr>
          <w:rFonts w:eastAsia="Arial Unicode MS"/>
          <w:bCs/>
          <w:sz w:val="24"/>
          <w:szCs w:val="24"/>
        </w:rPr>
      </w:pPr>
      <w:r w:rsidRPr="00B5003E">
        <w:rPr>
          <w:rFonts w:eastAsia="Arial Unicode MS"/>
          <w:bCs/>
          <w:sz w:val="24"/>
          <w:szCs w:val="24"/>
        </w:rPr>
        <w:t xml:space="preserve">Can be concluded </w:t>
      </w:r>
      <w:r w:rsidRPr="00B5003E">
        <w:rPr>
          <w:rFonts w:eastAsia="Arial Unicode MS"/>
          <w:bCs/>
          <w:i/>
          <w:iCs/>
          <w:sz w:val="24"/>
          <w:szCs w:val="24"/>
        </w:rPr>
        <w:t>Total Asset Turnover</w:t>
      </w:r>
      <w:r w:rsidRPr="00B5003E">
        <w:rPr>
          <w:rFonts w:eastAsia="Arial Unicode MS"/>
          <w:bCs/>
          <w:sz w:val="24"/>
          <w:szCs w:val="24"/>
        </w:rPr>
        <w:t xml:space="preserve"> is a ratio that measures the effectiveness of the use of all assets in generating sales. The use of the activity ratio is to compare the level of sales with investment in assets for one period. The formula used to measure total asset turnover is as follows:</w:t>
      </w:r>
    </w:p>
    <w:p w:rsidR="00F22BDE" w:rsidRDefault="00F22BDE" w:rsidP="00000088">
      <w:pPr>
        <w:rPr>
          <w:sz w:val="24"/>
          <w:szCs w:val="24"/>
        </w:rPr>
      </w:pPr>
    </w:p>
    <w:p w:rsidR="00F22BDE" w:rsidRDefault="00F22BDE" w:rsidP="00000088">
      <w:pPr>
        <w:rPr>
          <w:sz w:val="24"/>
          <w:szCs w:val="24"/>
        </w:rPr>
      </w:pPr>
      <w:r>
        <w:rPr>
          <w:rFonts w:eastAsia="Arial Unicode MS"/>
          <w:bCs/>
          <w:noProof/>
          <w:sz w:val="24"/>
          <w:szCs w:val="24"/>
        </w:rPr>
        <w:pict>
          <v:roundrect id="_x0000_s1102" style="position:absolute;margin-left:96.7pt;margin-top:2.25pt;width:250.95pt;height:47.6pt;z-index:251707392" arcsize="10923f">
            <v:textbox style="mso-next-textbox:#_x0000_s1102">
              <w:txbxContent>
                <w:p w:rsidR="009277AF" w:rsidRPr="00B5003E" w:rsidRDefault="00F22BDE" w:rsidP="009277AF">
                  <w:pPr>
                    <w:rPr>
                      <w:sz w:val="24"/>
                      <w:szCs w:val="24"/>
                    </w:rPr>
                  </w:pPr>
                  <w:proofErr w:type="spellStart"/>
                  <w:r>
                    <w:rPr>
                      <w:rFonts w:eastAsia="Arial Unicode MS"/>
                      <w:bCs/>
                      <w:i/>
                      <w:iCs/>
                      <w:sz w:val="24"/>
                      <w:szCs w:val="24"/>
                    </w:rPr>
                    <w:t>TotalAsset</w:t>
                  </w:r>
                  <w:proofErr w:type="spellEnd"/>
                  <w:r>
                    <w:rPr>
                      <w:rFonts w:eastAsia="Arial Unicode MS"/>
                      <w:bCs/>
                      <w:i/>
                      <w:iCs/>
                      <w:sz w:val="24"/>
                      <w:szCs w:val="24"/>
                    </w:rPr>
                    <w:t xml:space="preserve"> Turnover (</w:t>
                  </w:r>
                  <w:proofErr w:type="spellStart"/>
                  <w:r>
                    <w:rPr>
                      <w:rFonts w:eastAsia="Arial Unicode MS"/>
                      <w:bCs/>
                      <w:i/>
                      <w:iCs/>
                      <w:sz w:val="24"/>
                      <w:szCs w:val="24"/>
                    </w:rPr>
                    <w:t>TATo</w:t>
                  </w:r>
                  <w:proofErr w:type="spellEnd"/>
                  <w:proofErr w:type="gramStart"/>
                  <w:r>
                    <w:rPr>
                      <w:rFonts w:eastAsia="Arial Unicode MS"/>
                      <w:bCs/>
                      <w:i/>
                      <w:iCs/>
                      <w:sz w:val="24"/>
                      <w:szCs w:val="24"/>
                    </w:rPr>
                    <w:t>)</w:t>
                  </w:r>
                  <w:r w:rsidR="009277AF" w:rsidRPr="00B5003E">
                    <w:rPr>
                      <w:rFonts w:eastAsia="Arial Unicode MS"/>
                      <w:bCs/>
                      <w:sz w:val="24"/>
                      <w:szCs w:val="24"/>
                    </w:rPr>
                    <w:t xml:space="preserve"> </w:t>
                  </w:r>
                  <w:r w:rsidR="009277AF" w:rsidRPr="00B5003E">
                    <w:rPr>
                      <w:rFonts w:eastAsia="Arial Unicode MS"/>
                      <w:bCs/>
                      <w:i/>
                      <w:iCs/>
                      <w:sz w:val="24"/>
                      <w:szCs w:val="24"/>
                    </w:rPr>
                    <w:t xml:space="preserve"> =</w:t>
                  </w:r>
                  <w:proofErr w:type="gramEnd"/>
                  <w:r w:rsidR="009277AF" w:rsidRPr="00E80ACE">
                    <w:rPr>
                      <w:rFonts w:eastAsia="Arial Unicode MS"/>
                      <w:bCs/>
                      <w:sz w:val="24"/>
                      <w:szCs w:val="24"/>
                    </w:rPr>
                    <w:t xml:space="preserve"> </w:t>
                  </w:r>
                  <w:r w:rsidR="009277AF">
                    <w:rPr>
                      <w:rFonts w:eastAsia="Arial Unicode MS"/>
                      <w:bCs/>
                      <w:sz w:val="24"/>
                      <w:szCs w:val="24"/>
                    </w:rPr>
                    <w:t xml:space="preserve">  </w:t>
                  </w:r>
                  <w:proofErr w:type="spellStart"/>
                  <w:r>
                    <w:rPr>
                      <w:rFonts w:eastAsia="Arial Unicode MS"/>
                      <w:bCs/>
                      <w:sz w:val="24"/>
                      <w:szCs w:val="24"/>
                    </w:rPr>
                    <w:t>Saler</w:t>
                  </w:r>
                  <w:proofErr w:type="spellEnd"/>
                </w:p>
                <w:p w:rsidR="009277AF" w:rsidRPr="00B5003E" w:rsidRDefault="009277AF" w:rsidP="009277AF">
                  <w:pPr>
                    <w:rPr>
                      <w:sz w:val="24"/>
                      <w:szCs w:val="24"/>
                    </w:rPr>
                  </w:pPr>
                  <w:r>
                    <w:rPr>
                      <w:rFonts w:eastAsia="Arial Unicode MS"/>
                      <w:bCs/>
                      <w:sz w:val="24"/>
                      <w:szCs w:val="24"/>
                    </w:rPr>
                    <w:t xml:space="preserve">  </w:t>
                  </w:r>
                  <w:r>
                    <w:rPr>
                      <w:rFonts w:eastAsia="Arial Unicode MS"/>
                      <w:bCs/>
                      <w:sz w:val="24"/>
                      <w:szCs w:val="24"/>
                    </w:rPr>
                    <w:tab/>
                  </w:r>
                  <w:r>
                    <w:rPr>
                      <w:rFonts w:eastAsia="Arial Unicode MS"/>
                      <w:bCs/>
                      <w:sz w:val="24"/>
                      <w:szCs w:val="24"/>
                    </w:rPr>
                    <w:tab/>
                  </w:r>
                  <w:r>
                    <w:rPr>
                      <w:rFonts w:eastAsia="Arial Unicode MS"/>
                      <w:bCs/>
                      <w:sz w:val="24"/>
                      <w:szCs w:val="24"/>
                    </w:rPr>
                    <w:tab/>
                  </w:r>
                  <w:r>
                    <w:rPr>
                      <w:rFonts w:eastAsia="Arial Unicode MS"/>
                      <w:bCs/>
                      <w:sz w:val="24"/>
                      <w:szCs w:val="24"/>
                    </w:rPr>
                    <w:tab/>
                    <w:t xml:space="preserve">     Total </w:t>
                  </w:r>
                  <w:r w:rsidR="00F22BDE">
                    <w:rPr>
                      <w:rFonts w:eastAsia="Arial Unicode MS"/>
                      <w:bCs/>
                      <w:sz w:val="24"/>
                      <w:szCs w:val="24"/>
                    </w:rPr>
                    <w:t>Assets</w:t>
                  </w:r>
                </w:p>
                <w:p w:rsidR="009277AF" w:rsidRDefault="009277AF" w:rsidP="009277AF">
                  <w:pPr>
                    <w:ind w:firstLine="720"/>
                    <w:jc w:val="center"/>
                  </w:pPr>
                </w:p>
              </w:txbxContent>
            </v:textbox>
          </v:roundrect>
        </w:pict>
      </w:r>
    </w:p>
    <w:p w:rsidR="00000088" w:rsidRPr="00B5003E" w:rsidRDefault="00000088" w:rsidP="00000088">
      <w:pPr>
        <w:rPr>
          <w:sz w:val="24"/>
          <w:szCs w:val="24"/>
        </w:rPr>
      </w:pPr>
      <w:r w:rsidRPr="00B5003E">
        <w:rPr>
          <w:rFonts w:eastAsia="Arial Unicode MS"/>
          <w:b/>
          <w:bCs/>
          <w:sz w:val="24"/>
          <w:szCs w:val="24"/>
        </w:rPr>
        <w:lastRenderedPageBreak/>
        <w:t>CONCEPTUAL FRAMEWORK</w:t>
      </w:r>
    </w:p>
    <w:p w:rsidR="00EC3D04" w:rsidRDefault="00EC3D04" w:rsidP="00000088">
      <w:pPr>
        <w:rPr>
          <w:rFonts w:eastAsia="Arial Unicode MS"/>
          <w:b/>
          <w:bCs/>
          <w:sz w:val="24"/>
          <w:szCs w:val="24"/>
        </w:rPr>
      </w:pPr>
    </w:p>
    <w:p w:rsidR="00000088" w:rsidRPr="00B5003E" w:rsidRDefault="00000088" w:rsidP="00000088">
      <w:pPr>
        <w:rPr>
          <w:b/>
          <w:sz w:val="24"/>
          <w:szCs w:val="24"/>
        </w:rPr>
      </w:pPr>
      <w:r w:rsidRPr="00B5003E">
        <w:rPr>
          <w:rFonts w:eastAsia="Arial Unicode MS"/>
          <w:b/>
          <w:bCs/>
          <w:sz w:val="24"/>
          <w:szCs w:val="24"/>
        </w:rPr>
        <w:t xml:space="preserve">Influence </w:t>
      </w:r>
      <w:r w:rsidRPr="00B5003E">
        <w:rPr>
          <w:rFonts w:eastAsia="Arial Unicode MS"/>
          <w:b/>
          <w:bCs/>
          <w:i/>
          <w:iCs/>
          <w:sz w:val="24"/>
          <w:szCs w:val="24"/>
        </w:rPr>
        <w:t xml:space="preserve">Current Ratio </w:t>
      </w:r>
      <w:r w:rsidRPr="001824BF">
        <w:rPr>
          <w:rFonts w:eastAsia="Arial Unicode MS"/>
          <w:b/>
          <w:bCs/>
          <w:iCs/>
          <w:sz w:val="24"/>
          <w:szCs w:val="24"/>
        </w:rPr>
        <w:t>(</w:t>
      </w:r>
      <w:r w:rsidRPr="00B5003E">
        <w:rPr>
          <w:rFonts w:eastAsia="Arial Unicode MS"/>
          <w:b/>
          <w:bCs/>
          <w:sz w:val="24"/>
          <w:szCs w:val="24"/>
        </w:rPr>
        <w:t xml:space="preserve">CR) Against </w:t>
      </w:r>
      <w:r w:rsidRPr="00B5003E">
        <w:rPr>
          <w:rFonts w:eastAsia="Arial Unicode MS"/>
          <w:b/>
          <w:bCs/>
          <w:i/>
          <w:iCs/>
          <w:sz w:val="24"/>
          <w:szCs w:val="24"/>
        </w:rPr>
        <w:t xml:space="preserve">Return </w:t>
      </w:r>
      <w:proofErr w:type="gramStart"/>
      <w:r w:rsidRPr="00B5003E">
        <w:rPr>
          <w:rFonts w:eastAsia="Arial Unicode MS"/>
          <w:b/>
          <w:bCs/>
          <w:i/>
          <w:iCs/>
          <w:sz w:val="24"/>
          <w:szCs w:val="24"/>
        </w:rPr>
        <w:t>On</w:t>
      </w:r>
      <w:proofErr w:type="gramEnd"/>
      <w:r w:rsidRPr="00B5003E">
        <w:rPr>
          <w:rFonts w:eastAsia="Arial Unicode MS"/>
          <w:b/>
          <w:bCs/>
          <w:i/>
          <w:iCs/>
          <w:sz w:val="24"/>
          <w:szCs w:val="24"/>
        </w:rPr>
        <w:t xml:space="preserve"> Equity </w:t>
      </w:r>
      <w:r w:rsidRPr="001824BF">
        <w:rPr>
          <w:rFonts w:eastAsia="Arial Unicode MS"/>
          <w:b/>
          <w:bCs/>
          <w:iCs/>
          <w:sz w:val="24"/>
          <w:szCs w:val="24"/>
        </w:rPr>
        <w:t>(</w:t>
      </w:r>
      <w:r w:rsidRPr="00B5003E">
        <w:rPr>
          <w:rFonts w:eastAsia="Arial Unicode MS"/>
          <w:b/>
          <w:bCs/>
          <w:sz w:val="24"/>
          <w:szCs w:val="24"/>
        </w:rPr>
        <w:t>ROE)</w:t>
      </w:r>
    </w:p>
    <w:p w:rsidR="00F22BDE" w:rsidRDefault="00000088" w:rsidP="00F22BDE">
      <w:pPr>
        <w:ind w:right="120" w:firstLine="566"/>
        <w:jc w:val="both"/>
        <w:rPr>
          <w:sz w:val="24"/>
          <w:szCs w:val="24"/>
        </w:rPr>
      </w:pPr>
      <w:r w:rsidRPr="00B5003E">
        <w:rPr>
          <w:rFonts w:eastAsia="Arial Unicode MS"/>
          <w:bCs/>
          <w:i/>
          <w:iCs/>
          <w:sz w:val="24"/>
          <w:szCs w:val="24"/>
        </w:rPr>
        <w:t xml:space="preserve">Current Ratio </w:t>
      </w:r>
      <w:r w:rsidRPr="00B5003E">
        <w:rPr>
          <w:rFonts w:eastAsia="Arial Unicode MS"/>
          <w:bCs/>
          <w:sz w:val="24"/>
          <w:szCs w:val="24"/>
        </w:rPr>
        <w:t xml:space="preserve">is the ratio most commonly used to analyze the working capital </w:t>
      </w:r>
      <w:proofErr w:type="gramStart"/>
      <w:r w:rsidRPr="00B5003E">
        <w:rPr>
          <w:rFonts w:eastAsia="Arial Unicode MS"/>
          <w:bCs/>
          <w:sz w:val="24"/>
          <w:szCs w:val="24"/>
        </w:rPr>
        <w:t>position</w:t>
      </w:r>
      <w:proofErr w:type="gramEnd"/>
      <w:r w:rsidRPr="00B5003E">
        <w:rPr>
          <w:rFonts w:eastAsia="Arial Unicode MS"/>
          <w:bCs/>
          <w:sz w:val="24"/>
          <w:szCs w:val="24"/>
        </w:rPr>
        <w:t xml:space="preserve"> of a </w:t>
      </w:r>
      <w:proofErr w:type="spellStart"/>
      <w:r w:rsidRPr="00B5003E">
        <w:rPr>
          <w:rFonts w:eastAsia="Arial Unicode MS"/>
          <w:bCs/>
          <w:sz w:val="24"/>
          <w:szCs w:val="24"/>
        </w:rPr>
        <w:t>company.The</w:t>
      </w:r>
      <w:proofErr w:type="spellEnd"/>
      <w:r w:rsidRPr="00B5003E">
        <w:rPr>
          <w:rFonts w:eastAsia="Arial Unicode MS"/>
          <w:bCs/>
          <w:sz w:val="24"/>
          <w:szCs w:val="24"/>
        </w:rPr>
        <w:t xml:space="preserve"> higher this ratio, the guaranteed debt - the company's debt to creditors. This ratio is used to measure the ability of a company to pay short-term liabilities by using its current assets. Based on the results of research conducted partially, the CR variable does not have a significant effect on ROE (</w:t>
      </w:r>
      <w:proofErr w:type="spellStart"/>
      <w:r w:rsidRPr="00B5003E">
        <w:rPr>
          <w:rFonts w:eastAsia="Arial Unicode MS"/>
          <w:bCs/>
          <w:sz w:val="24"/>
          <w:szCs w:val="24"/>
        </w:rPr>
        <w:t>Pratomo</w:t>
      </w:r>
      <w:proofErr w:type="spellEnd"/>
      <w:r w:rsidRPr="00B5003E">
        <w:rPr>
          <w:rFonts w:eastAsia="Arial Unicode MS"/>
          <w:bCs/>
          <w:sz w:val="24"/>
          <w:szCs w:val="24"/>
        </w:rPr>
        <w:t>, 2017).</w:t>
      </w:r>
      <w:r w:rsidR="00F22BDE">
        <w:rPr>
          <w:sz w:val="24"/>
          <w:szCs w:val="24"/>
        </w:rPr>
        <w:t xml:space="preserve"> </w:t>
      </w:r>
      <w:r w:rsidRPr="00B5003E">
        <w:rPr>
          <w:rFonts w:eastAsia="Arial Unicode MS"/>
          <w:bCs/>
          <w:i/>
          <w:iCs/>
          <w:sz w:val="24"/>
          <w:szCs w:val="24"/>
        </w:rPr>
        <w:t xml:space="preserve">Current Ratio </w:t>
      </w:r>
      <w:r w:rsidRPr="00B5003E">
        <w:rPr>
          <w:rFonts w:eastAsia="Arial Unicode MS"/>
          <w:bCs/>
          <w:sz w:val="24"/>
          <w:szCs w:val="24"/>
        </w:rPr>
        <w:t>has a significant effect on</w:t>
      </w:r>
      <w:r w:rsidRPr="00B5003E">
        <w:rPr>
          <w:rFonts w:eastAsia="Arial Unicode MS"/>
          <w:bCs/>
          <w:i/>
          <w:iCs/>
          <w:sz w:val="24"/>
          <w:szCs w:val="24"/>
        </w:rPr>
        <w:t xml:space="preserve"> Return On Equity </w:t>
      </w:r>
      <w:proofErr w:type="gramStart"/>
      <w:r w:rsidRPr="00B5003E">
        <w:rPr>
          <w:rFonts w:eastAsia="Arial Unicode MS"/>
          <w:bCs/>
          <w:i/>
          <w:iCs/>
          <w:sz w:val="24"/>
          <w:szCs w:val="24"/>
        </w:rPr>
        <w:t xml:space="preserve">( </w:t>
      </w:r>
      <w:proofErr w:type="spellStart"/>
      <w:r w:rsidR="00F22BDE">
        <w:rPr>
          <w:rFonts w:eastAsia="Arial Unicode MS"/>
          <w:bCs/>
          <w:sz w:val="24"/>
          <w:szCs w:val="24"/>
        </w:rPr>
        <w:t>Alpi</w:t>
      </w:r>
      <w:proofErr w:type="spellEnd"/>
      <w:proofErr w:type="gramEnd"/>
      <w:r w:rsidR="00F22BDE">
        <w:rPr>
          <w:rFonts w:eastAsia="Arial Unicode MS"/>
          <w:bCs/>
          <w:sz w:val="24"/>
          <w:szCs w:val="24"/>
        </w:rPr>
        <w:t xml:space="preserve">, 2018) </w:t>
      </w:r>
      <w:r w:rsidRPr="00B5003E">
        <w:rPr>
          <w:rFonts w:eastAsia="Arial Unicode MS"/>
          <w:bCs/>
          <w:i/>
          <w:iCs/>
          <w:sz w:val="24"/>
          <w:szCs w:val="24"/>
        </w:rPr>
        <w:t xml:space="preserve">Current Ratio </w:t>
      </w:r>
      <w:r w:rsidRPr="00B5003E">
        <w:rPr>
          <w:rFonts w:eastAsia="Arial Unicode MS"/>
          <w:bCs/>
          <w:sz w:val="24"/>
          <w:szCs w:val="24"/>
        </w:rPr>
        <w:t>significant effect on</w:t>
      </w:r>
      <w:r w:rsidRPr="00B5003E">
        <w:rPr>
          <w:rFonts w:eastAsia="Arial Unicode MS"/>
          <w:bCs/>
          <w:i/>
          <w:iCs/>
          <w:sz w:val="24"/>
          <w:szCs w:val="24"/>
        </w:rPr>
        <w:t xml:space="preserve"> Return On Equity ( </w:t>
      </w:r>
      <w:proofErr w:type="spellStart"/>
      <w:r w:rsidRPr="00B5003E">
        <w:rPr>
          <w:rFonts w:eastAsia="Arial Unicode MS"/>
          <w:bCs/>
          <w:sz w:val="24"/>
          <w:szCs w:val="24"/>
        </w:rPr>
        <w:t>Yusnandar</w:t>
      </w:r>
      <w:proofErr w:type="spellEnd"/>
      <w:r w:rsidRPr="00B5003E">
        <w:rPr>
          <w:rFonts w:eastAsia="Arial Unicode MS"/>
          <w:bCs/>
          <w:sz w:val="24"/>
          <w:szCs w:val="24"/>
        </w:rPr>
        <w:t xml:space="preserve">, 2019). Meanwhile, based on </w:t>
      </w:r>
      <w:proofErr w:type="spellStart"/>
      <w:r w:rsidRPr="00B5003E">
        <w:rPr>
          <w:rFonts w:eastAsia="Arial Unicode MS"/>
          <w:bCs/>
          <w:sz w:val="24"/>
          <w:szCs w:val="24"/>
        </w:rPr>
        <w:t>researchaccording</w:t>
      </w:r>
      <w:proofErr w:type="spellEnd"/>
      <w:r w:rsidRPr="00B5003E">
        <w:rPr>
          <w:rFonts w:eastAsia="Arial Unicode MS"/>
          <w:bCs/>
          <w:sz w:val="24"/>
          <w:szCs w:val="24"/>
        </w:rPr>
        <w:t xml:space="preserve"> to (</w:t>
      </w:r>
      <w:proofErr w:type="spellStart"/>
      <w:r w:rsidRPr="00B5003E">
        <w:rPr>
          <w:rFonts w:eastAsia="Arial Unicode MS"/>
          <w:bCs/>
          <w:sz w:val="24"/>
          <w:szCs w:val="24"/>
        </w:rPr>
        <w:t>Hasibuan</w:t>
      </w:r>
      <w:proofErr w:type="spellEnd"/>
      <w:r w:rsidRPr="00B5003E">
        <w:rPr>
          <w:rFonts w:eastAsia="Arial Unicode MS"/>
          <w:bCs/>
          <w:sz w:val="24"/>
          <w:szCs w:val="24"/>
        </w:rPr>
        <w:t xml:space="preserve">, 2018) concluded that </w:t>
      </w:r>
      <w:r w:rsidRPr="00B5003E">
        <w:rPr>
          <w:rFonts w:eastAsia="Arial Unicode MS"/>
          <w:bCs/>
          <w:i/>
          <w:iCs/>
          <w:sz w:val="24"/>
          <w:szCs w:val="24"/>
        </w:rPr>
        <w:t xml:space="preserve">Current </w:t>
      </w:r>
      <w:proofErr w:type="spellStart"/>
      <w:r w:rsidRPr="00B5003E">
        <w:rPr>
          <w:rFonts w:eastAsia="Arial Unicode MS"/>
          <w:bCs/>
          <w:i/>
          <w:iCs/>
          <w:sz w:val="24"/>
          <w:szCs w:val="24"/>
        </w:rPr>
        <w:t>Ratio</w:t>
      </w:r>
      <w:r w:rsidRPr="00B5003E">
        <w:rPr>
          <w:rFonts w:eastAsia="Arial Unicode MS"/>
          <w:bCs/>
          <w:sz w:val="24"/>
          <w:szCs w:val="24"/>
        </w:rPr>
        <w:t>effect</w:t>
      </w:r>
      <w:proofErr w:type="spellEnd"/>
      <w:r w:rsidRPr="00B5003E">
        <w:rPr>
          <w:rFonts w:eastAsia="Arial Unicode MS"/>
          <w:bCs/>
          <w:sz w:val="24"/>
          <w:szCs w:val="24"/>
        </w:rPr>
        <w:t xml:space="preserve"> on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w:t>
      </w:r>
    </w:p>
    <w:p w:rsidR="00F22BDE" w:rsidRDefault="00000088" w:rsidP="00F22BDE">
      <w:pPr>
        <w:ind w:right="120" w:firstLine="566"/>
        <w:jc w:val="both"/>
        <w:rPr>
          <w:sz w:val="24"/>
          <w:szCs w:val="24"/>
        </w:rPr>
      </w:pPr>
      <w:proofErr w:type="gramStart"/>
      <w:r w:rsidRPr="00B5003E">
        <w:rPr>
          <w:rFonts w:eastAsia="Arial Unicode MS"/>
          <w:bCs/>
          <w:sz w:val="24"/>
          <w:szCs w:val="24"/>
        </w:rPr>
        <w:t xml:space="preserve">Because </w:t>
      </w:r>
      <w:r w:rsidRPr="00B5003E">
        <w:rPr>
          <w:rFonts w:eastAsia="Arial Unicode MS"/>
          <w:bCs/>
          <w:i/>
          <w:iCs/>
          <w:sz w:val="24"/>
          <w:szCs w:val="24"/>
        </w:rPr>
        <w:t>Current Ratio</w:t>
      </w:r>
      <w:r w:rsidRPr="00B5003E">
        <w:rPr>
          <w:rFonts w:eastAsia="Arial Unicode MS"/>
          <w:bCs/>
          <w:sz w:val="24"/>
          <w:szCs w:val="24"/>
        </w:rPr>
        <w:t xml:space="preserve"> is a ratio to </w:t>
      </w:r>
      <w:proofErr w:type="spellStart"/>
      <w:r w:rsidRPr="00B5003E">
        <w:rPr>
          <w:rFonts w:eastAsia="Arial Unicode MS"/>
          <w:bCs/>
          <w:sz w:val="24"/>
          <w:szCs w:val="24"/>
        </w:rPr>
        <w:t>measure</w:t>
      </w:r>
      <w:bookmarkStart w:id="4" w:name="page7"/>
      <w:bookmarkEnd w:id="4"/>
      <w:r w:rsidRPr="00B5003E">
        <w:rPr>
          <w:rFonts w:eastAsia="Arial Unicode MS"/>
          <w:bCs/>
          <w:sz w:val="24"/>
          <w:szCs w:val="24"/>
        </w:rPr>
        <w:t>the</w:t>
      </w:r>
      <w:proofErr w:type="spellEnd"/>
      <w:r w:rsidRPr="00B5003E">
        <w:rPr>
          <w:rFonts w:eastAsia="Arial Unicode MS"/>
          <w:bCs/>
          <w:sz w:val="24"/>
          <w:szCs w:val="24"/>
        </w:rPr>
        <w:t xml:space="preserve"> company's ability to pay off its short-term debt.</w:t>
      </w:r>
      <w:proofErr w:type="gramEnd"/>
      <w:r w:rsidRPr="00B5003E">
        <w:rPr>
          <w:rFonts w:eastAsia="Arial Unicode MS"/>
          <w:bCs/>
          <w:sz w:val="24"/>
          <w:szCs w:val="24"/>
        </w:rPr>
        <w:t xml:space="preserve"> Then according to (Son, 2020) states that partially </w:t>
      </w:r>
      <w:r w:rsidRPr="00B5003E">
        <w:rPr>
          <w:rFonts w:eastAsia="Arial Unicode MS"/>
          <w:bCs/>
          <w:i/>
          <w:iCs/>
          <w:sz w:val="24"/>
          <w:szCs w:val="24"/>
        </w:rPr>
        <w:t>Current Ratio</w:t>
      </w:r>
      <w:r w:rsidRPr="00B5003E">
        <w:rPr>
          <w:rFonts w:eastAsia="Arial Unicode MS"/>
          <w:bCs/>
          <w:sz w:val="24"/>
          <w:szCs w:val="24"/>
        </w:rPr>
        <w:t xml:space="preserve"> has no significant effect on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r w:rsidRPr="00B5003E">
        <w:rPr>
          <w:rFonts w:eastAsia="Arial Unicode MS"/>
          <w:bCs/>
          <w:sz w:val="24"/>
          <w:szCs w:val="24"/>
        </w:rPr>
        <w:t xml:space="preserve">This is because the increased profit will have an </w:t>
      </w:r>
      <w:proofErr w:type="spellStart"/>
      <w:r w:rsidRPr="00B5003E">
        <w:rPr>
          <w:rFonts w:eastAsia="Arial Unicode MS"/>
          <w:bCs/>
          <w:sz w:val="24"/>
          <w:szCs w:val="24"/>
        </w:rPr>
        <w:t>effect</w:t>
      </w:r>
      <w:r w:rsidRPr="00B5003E">
        <w:rPr>
          <w:rFonts w:eastAsia="Arial Unicode MS"/>
          <w:bCs/>
          <w:i/>
          <w:iCs/>
          <w:sz w:val="24"/>
          <w:szCs w:val="24"/>
        </w:rPr>
        <w:t>Return</w:t>
      </w:r>
      <w:proofErr w:type="spellEnd"/>
      <w:r w:rsidRPr="00B5003E">
        <w:rPr>
          <w:rFonts w:eastAsia="Arial Unicode MS"/>
          <w:bCs/>
          <w:i/>
          <w:iCs/>
          <w:sz w:val="24"/>
          <w:szCs w:val="24"/>
        </w:rPr>
        <w:t xml:space="preserve"> On Equity. </w:t>
      </w:r>
      <w:r w:rsidRPr="00B5003E">
        <w:rPr>
          <w:rFonts w:eastAsia="Arial Unicode MS"/>
          <w:bCs/>
          <w:sz w:val="24"/>
          <w:szCs w:val="24"/>
        </w:rPr>
        <w:t>Based on the research above, it can be concluded that the variables</w:t>
      </w:r>
    </w:p>
    <w:p w:rsidR="00000088" w:rsidRPr="00B5003E" w:rsidRDefault="00000088" w:rsidP="00F22BDE">
      <w:pPr>
        <w:ind w:right="120" w:firstLine="566"/>
        <w:jc w:val="both"/>
        <w:rPr>
          <w:sz w:val="24"/>
          <w:szCs w:val="24"/>
        </w:rPr>
      </w:pPr>
      <w:r w:rsidRPr="00B5003E">
        <w:rPr>
          <w:rFonts w:eastAsia="Arial Unicode MS"/>
          <w:bCs/>
          <w:i/>
          <w:iCs/>
          <w:sz w:val="24"/>
          <w:szCs w:val="24"/>
        </w:rPr>
        <w:t xml:space="preserve">Current Ratio </w:t>
      </w:r>
      <w:r w:rsidRPr="00B5003E">
        <w:rPr>
          <w:rFonts w:eastAsia="Arial Unicode MS"/>
          <w:bCs/>
          <w:sz w:val="24"/>
          <w:szCs w:val="24"/>
        </w:rPr>
        <w:t>has a significant effect on the dependent variable</w:t>
      </w:r>
      <w:r w:rsidRPr="00B5003E">
        <w:rPr>
          <w:rFonts w:eastAsia="Arial Unicode MS"/>
          <w:bCs/>
          <w:i/>
          <w:iCs/>
          <w:sz w:val="24"/>
          <w:szCs w:val="24"/>
        </w:rPr>
        <w:t xml:space="preserve"> 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proofErr w:type="spellStart"/>
      <w:r w:rsidRPr="00B5003E">
        <w:rPr>
          <w:rFonts w:eastAsia="Arial Unicode MS"/>
          <w:bCs/>
          <w:sz w:val="24"/>
          <w:szCs w:val="24"/>
        </w:rPr>
        <w:t>whichtends</w:t>
      </w:r>
      <w:proofErr w:type="spellEnd"/>
      <w:r w:rsidRPr="00B5003E">
        <w:rPr>
          <w:rFonts w:eastAsia="Arial Unicode MS"/>
          <w:bCs/>
          <w:sz w:val="24"/>
          <w:szCs w:val="24"/>
        </w:rPr>
        <w:t xml:space="preserve"> to indicate the company indicates the company has dependents that must be resolved.</w:t>
      </w:r>
    </w:p>
    <w:p w:rsidR="00000088" w:rsidRPr="00B5003E" w:rsidRDefault="00000088" w:rsidP="00000088">
      <w:pPr>
        <w:ind w:right="1100"/>
        <w:rPr>
          <w:sz w:val="24"/>
          <w:szCs w:val="24"/>
        </w:rPr>
      </w:pPr>
    </w:p>
    <w:p w:rsidR="00F22BDE" w:rsidRDefault="00000088" w:rsidP="00F22BDE">
      <w:pPr>
        <w:rPr>
          <w:b/>
          <w:sz w:val="24"/>
          <w:szCs w:val="24"/>
        </w:rPr>
      </w:pPr>
      <w:r w:rsidRPr="00B5003E">
        <w:rPr>
          <w:rFonts w:eastAsia="Arial Unicode MS"/>
          <w:b/>
          <w:bCs/>
          <w:sz w:val="24"/>
          <w:szCs w:val="24"/>
        </w:rPr>
        <w:t xml:space="preserve">Influence </w:t>
      </w:r>
      <w:r w:rsidRPr="00B5003E">
        <w:rPr>
          <w:rFonts w:eastAsia="Arial Unicode MS"/>
          <w:b/>
          <w:bCs/>
          <w:i/>
          <w:iCs/>
          <w:sz w:val="24"/>
          <w:szCs w:val="24"/>
        </w:rPr>
        <w:t xml:space="preserve">Debt To Equity Ratio </w:t>
      </w:r>
      <w:proofErr w:type="gramStart"/>
      <w:r w:rsidRPr="00B5003E">
        <w:rPr>
          <w:rFonts w:eastAsia="Arial Unicode MS"/>
          <w:b/>
          <w:bCs/>
          <w:i/>
          <w:iCs/>
          <w:sz w:val="24"/>
          <w:szCs w:val="24"/>
        </w:rPr>
        <w:t>(</w:t>
      </w:r>
      <w:r w:rsidRPr="00B5003E">
        <w:rPr>
          <w:rFonts w:eastAsia="Arial Unicode MS"/>
          <w:b/>
          <w:bCs/>
          <w:sz w:val="24"/>
          <w:szCs w:val="24"/>
        </w:rPr>
        <w:t xml:space="preserve"> DER</w:t>
      </w:r>
      <w:proofErr w:type="gramEnd"/>
      <w:r w:rsidRPr="00B5003E">
        <w:rPr>
          <w:rFonts w:eastAsia="Arial Unicode MS"/>
          <w:b/>
          <w:bCs/>
          <w:sz w:val="24"/>
          <w:szCs w:val="24"/>
        </w:rPr>
        <w:t xml:space="preserve">) against </w:t>
      </w:r>
      <w:r w:rsidRPr="00B5003E">
        <w:rPr>
          <w:rFonts w:eastAsia="Arial Unicode MS"/>
          <w:b/>
          <w:bCs/>
          <w:i/>
          <w:iCs/>
          <w:sz w:val="24"/>
          <w:szCs w:val="24"/>
        </w:rPr>
        <w:t>Return On Equity (</w:t>
      </w:r>
      <w:r w:rsidRPr="00B5003E">
        <w:rPr>
          <w:rFonts w:eastAsia="Arial Unicode MS"/>
          <w:b/>
          <w:bCs/>
          <w:sz w:val="24"/>
          <w:szCs w:val="24"/>
        </w:rPr>
        <w:t xml:space="preserve"> ROE)</w:t>
      </w:r>
    </w:p>
    <w:p w:rsidR="00F22BDE" w:rsidRDefault="00000088" w:rsidP="00F22BDE">
      <w:pPr>
        <w:ind w:firstLine="720"/>
        <w:jc w:val="both"/>
        <w:rPr>
          <w:b/>
          <w:sz w:val="24"/>
          <w:szCs w:val="24"/>
        </w:rPr>
      </w:pPr>
      <w:r w:rsidRPr="00B5003E">
        <w:rPr>
          <w:rFonts w:eastAsia="Arial Unicode MS"/>
          <w:bCs/>
          <w:i/>
          <w:iCs/>
          <w:sz w:val="24"/>
          <w:szCs w:val="24"/>
        </w:rPr>
        <w:t xml:space="preserve">Debt To Equity Ratio </w:t>
      </w:r>
      <w:proofErr w:type="gramStart"/>
      <w:r w:rsidRPr="00B5003E">
        <w:rPr>
          <w:rFonts w:eastAsia="Arial Unicode MS"/>
          <w:bCs/>
          <w:i/>
          <w:iCs/>
          <w:sz w:val="24"/>
          <w:szCs w:val="24"/>
        </w:rPr>
        <w:t xml:space="preserve">( </w:t>
      </w:r>
      <w:r w:rsidRPr="00B5003E">
        <w:rPr>
          <w:rFonts w:eastAsia="Arial Unicode MS"/>
          <w:bCs/>
          <w:sz w:val="24"/>
          <w:szCs w:val="24"/>
        </w:rPr>
        <w:t>DER</w:t>
      </w:r>
      <w:proofErr w:type="gramEnd"/>
      <w:r w:rsidRPr="00B5003E">
        <w:rPr>
          <w:rFonts w:eastAsia="Arial Unicode MS"/>
          <w:bCs/>
          <w:sz w:val="24"/>
          <w:szCs w:val="24"/>
        </w:rPr>
        <w:t xml:space="preserve">) is a financial ratio that compares total debt to equity. Equity and </w:t>
      </w:r>
      <w:proofErr w:type="spellStart"/>
      <w:r w:rsidRPr="00B5003E">
        <w:rPr>
          <w:rFonts w:eastAsia="Arial Unicode MS"/>
          <w:bCs/>
          <w:sz w:val="24"/>
          <w:szCs w:val="24"/>
        </w:rPr>
        <w:t>theamount</w:t>
      </w:r>
      <w:proofErr w:type="spellEnd"/>
      <w:r w:rsidRPr="00B5003E">
        <w:rPr>
          <w:rFonts w:eastAsia="Arial Unicode MS"/>
          <w:bCs/>
          <w:sz w:val="24"/>
          <w:szCs w:val="24"/>
        </w:rPr>
        <w:t xml:space="preserve"> of debt used for the company's operations must be proportional. </w:t>
      </w:r>
      <w:r w:rsidRPr="00B5003E">
        <w:rPr>
          <w:rFonts w:eastAsia="Arial Unicode MS"/>
          <w:bCs/>
          <w:i/>
          <w:iCs/>
          <w:sz w:val="24"/>
          <w:szCs w:val="24"/>
        </w:rPr>
        <w:t xml:space="preserve">Debt to Equity Ratio </w:t>
      </w:r>
      <w:proofErr w:type="gramStart"/>
      <w:r w:rsidRPr="00B5003E">
        <w:rPr>
          <w:rFonts w:eastAsia="Arial Unicode MS"/>
          <w:bCs/>
          <w:i/>
          <w:iCs/>
          <w:sz w:val="24"/>
          <w:szCs w:val="24"/>
        </w:rPr>
        <w:t>(</w:t>
      </w:r>
      <w:r w:rsidRPr="00B5003E">
        <w:rPr>
          <w:rFonts w:eastAsia="Arial Unicode MS"/>
          <w:bCs/>
          <w:sz w:val="24"/>
          <w:szCs w:val="24"/>
        </w:rPr>
        <w:t xml:space="preserve"> DER</w:t>
      </w:r>
      <w:proofErr w:type="gramEnd"/>
      <w:r w:rsidRPr="00B5003E">
        <w:rPr>
          <w:rFonts w:eastAsia="Arial Unicode MS"/>
          <w:bCs/>
          <w:sz w:val="24"/>
          <w:szCs w:val="24"/>
        </w:rPr>
        <w:t xml:space="preserve">) is also known as the leverage ratio or leverage ratio. Leveraging ratio is the ratio used to measure an investment in a company. Partially the DER variable does not have a significant </w:t>
      </w:r>
      <w:proofErr w:type="spellStart"/>
      <w:r w:rsidRPr="00B5003E">
        <w:rPr>
          <w:rFonts w:eastAsia="Arial Unicode MS"/>
          <w:bCs/>
          <w:sz w:val="24"/>
          <w:szCs w:val="24"/>
        </w:rPr>
        <w:t>effectagainst</w:t>
      </w:r>
      <w:proofErr w:type="spellEnd"/>
      <w:r w:rsidRPr="00B5003E">
        <w:rPr>
          <w:rFonts w:eastAsia="Arial Unicode MS"/>
          <w:bCs/>
          <w:sz w:val="24"/>
          <w:szCs w:val="24"/>
        </w:rPr>
        <w:t xml:space="preserve"> ROE (</w:t>
      </w:r>
      <w:proofErr w:type="spellStart"/>
      <w:r w:rsidRPr="00B5003E">
        <w:rPr>
          <w:rFonts w:eastAsia="Arial Unicode MS"/>
          <w:bCs/>
          <w:sz w:val="24"/>
          <w:szCs w:val="24"/>
        </w:rPr>
        <w:t>Destari</w:t>
      </w:r>
      <w:proofErr w:type="spellEnd"/>
      <w:r w:rsidRPr="00B5003E">
        <w:rPr>
          <w:rFonts w:eastAsia="Arial Unicode MS"/>
          <w:bCs/>
          <w:sz w:val="24"/>
          <w:szCs w:val="24"/>
        </w:rPr>
        <w:t xml:space="preserve">&amp; </w:t>
      </w:r>
      <w:proofErr w:type="spellStart"/>
      <w:r w:rsidRPr="00B5003E">
        <w:rPr>
          <w:rFonts w:eastAsia="Arial Unicode MS"/>
          <w:bCs/>
          <w:sz w:val="24"/>
          <w:szCs w:val="24"/>
        </w:rPr>
        <w:t>Hendratno</w:t>
      </w:r>
      <w:proofErr w:type="spellEnd"/>
      <w:r w:rsidRPr="00B5003E">
        <w:rPr>
          <w:rFonts w:eastAsia="Arial Unicode MS"/>
          <w:bCs/>
          <w:sz w:val="24"/>
          <w:szCs w:val="24"/>
        </w:rPr>
        <w:t xml:space="preserve">, 2019). </w:t>
      </w:r>
    </w:p>
    <w:p w:rsidR="00F22BDE" w:rsidRDefault="00000088" w:rsidP="00F22BDE">
      <w:pPr>
        <w:ind w:firstLine="720"/>
        <w:jc w:val="both"/>
        <w:rPr>
          <w:b/>
          <w:sz w:val="24"/>
          <w:szCs w:val="24"/>
        </w:rPr>
      </w:pPr>
      <w:r w:rsidRPr="00B5003E">
        <w:rPr>
          <w:rFonts w:eastAsia="Arial Unicode MS"/>
          <w:bCs/>
          <w:sz w:val="24"/>
          <w:szCs w:val="24"/>
        </w:rPr>
        <w:t>Meanwhile, according to (</w:t>
      </w:r>
      <w:proofErr w:type="spellStart"/>
      <w:r w:rsidRPr="00B5003E">
        <w:rPr>
          <w:rFonts w:eastAsia="Arial Unicode MS"/>
          <w:bCs/>
          <w:sz w:val="24"/>
          <w:szCs w:val="24"/>
        </w:rPr>
        <w:t>Sipahutar</w:t>
      </w:r>
      <w:proofErr w:type="spellEnd"/>
      <w:r w:rsidRPr="00B5003E">
        <w:rPr>
          <w:rFonts w:eastAsia="Arial Unicode MS"/>
          <w:bCs/>
          <w:sz w:val="24"/>
          <w:szCs w:val="24"/>
        </w:rPr>
        <w:t xml:space="preserve">&amp; </w:t>
      </w:r>
      <w:proofErr w:type="spellStart"/>
      <w:r w:rsidRPr="00B5003E">
        <w:rPr>
          <w:rFonts w:eastAsia="Arial Unicode MS"/>
          <w:bCs/>
          <w:sz w:val="24"/>
          <w:szCs w:val="24"/>
        </w:rPr>
        <w:t>Gultom</w:t>
      </w:r>
      <w:proofErr w:type="spellEnd"/>
      <w:r w:rsidRPr="00B5003E">
        <w:rPr>
          <w:rFonts w:eastAsia="Arial Unicode MS"/>
          <w:bCs/>
          <w:sz w:val="24"/>
          <w:szCs w:val="24"/>
        </w:rPr>
        <w:t xml:space="preserve">, 2017) concluded that </w:t>
      </w:r>
      <w:proofErr w:type="spellStart"/>
      <w:r w:rsidRPr="00B5003E">
        <w:rPr>
          <w:rFonts w:eastAsia="Arial Unicode MS"/>
          <w:bCs/>
          <w:i/>
          <w:iCs/>
          <w:sz w:val="24"/>
          <w:szCs w:val="24"/>
        </w:rPr>
        <w:t>Debtto</w:t>
      </w:r>
      <w:proofErr w:type="spellEnd"/>
      <w:r w:rsidRPr="00B5003E">
        <w:rPr>
          <w:rFonts w:eastAsia="Arial Unicode MS"/>
          <w:bCs/>
          <w:i/>
          <w:iCs/>
          <w:sz w:val="24"/>
          <w:szCs w:val="24"/>
        </w:rPr>
        <w:t xml:space="preserve"> Equity Ratio </w:t>
      </w:r>
      <w:r w:rsidRPr="00B5003E">
        <w:rPr>
          <w:rFonts w:eastAsia="Arial Unicode MS"/>
          <w:bCs/>
          <w:sz w:val="24"/>
          <w:szCs w:val="24"/>
        </w:rPr>
        <w:t>have an influence on</w:t>
      </w:r>
      <w:r w:rsidRPr="00B5003E">
        <w:rPr>
          <w:rFonts w:eastAsia="Arial Unicode MS"/>
          <w:bCs/>
          <w:i/>
          <w:iCs/>
          <w:sz w:val="24"/>
          <w:szCs w:val="24"/>
        </w:rPr>
        <w:t xml:space="preserve"> Return </w:t>
      </w:r>
      <w:proofErr w:type="spellStart"/>
      <w:r w:rsidRPr="00B5003E">
        <w:rPr>
          <w:rFonts w:eastAsia="Arial Unicode MS"/>
          <w:bCs/>
          <w:i/>
          <w:iCs/>
          <w:sz w:val="24"/>
          <w:szCs w:val="24"/>
        </w:rPr>
        <w:t>On</w:t>
      </w:r>
      <w:r w:rsidRPr="00B5003E">
        <w:rPr>
          <w:rFonts w:eastAsia="Arial Unicode MS"/>
          <w:bCs/>
          <w:sz w:val="24"/>
          <w:szCs w:val="24"/>
        </w:rPr>
        <w:t>or</w:t>
      </w:r>
      <w:proofErr w:type="spellEnd"/>
      <w:r w:rsidRPr="00B5003E">
        <w:rPr>
          <w:rFonts w:eastAsia="Arial Unicode MS"/>
          <w:bCs/>
          <w:sz w:val="24"/>
          <w:szCs w:val="24"/>
        </w:rPr>
        <w:t xml:space="preserve"> significant.</w:t>
      </w:r>
      <w:r w:rsidR="00F22BDE">
        <w:rPr>
          <w:b/>
          <w:sz w:val="24"/>
          <w:szCs w:val="24"/>
        </w:rPr>
        <w:t xml:space="preserve"> </w:t>
      </w:r>
      <w:r w:rsidRPr="00B5003E">
        <w:rPr>
          <w:rFonts w:eastAsia="Arial Unicode MS"/>
          <w:bCs/>
          <w:sz w:val="24"/>
          <w:szCs w:val="24"/>
        </w:rPr>
        <w:t xml:space="preserve">Variable </w:t>
      </w:r>
      <w:r w:rsidRPr="00B5003E">
        <w:rPr>
          <w:rFonts w:eastAsia="Arial Unicode MS"/>
          <w:bCs/>
          <w:i/>
          <w:iCs/>
          <w:sz w:val="24"/>
          <w:szCs w:val="24"/>
        </w:rPr>
        <w:t>Debt to Equity Ratio</w:t>
      </w:r>
      <w:r w:rsidRPr="00B5003E">
        <w:rPr>
          <w:rFonts w:eastAsia="Arial Unicode MS"/>
          <w:bCs/>
          <w:sz w:val="24"/>
          <w:szCs w:val="24"/>
        </w:rPr>
        <w:t xml:space="preserve"> significant effect on </w:t>
      </w:r>
      <w:r w:rsidRPr="00B5003E">
        <w:rPr>
          <w:rFonts w:eastAsia="Arial Unicode MS"/>
          <w:bCs/>
          <w:i/>
          <w:iCs/>
          <w:sz w:val="24"/>
          <w:szCs w:val="24"/>
        </w:rPr>
        <w:t>Return On Equity</w:t>
      </w:r>
      <w:r w:rsidRPr="00B5003E">
        <w:rPr>
          <w:rFonts w:eastAsia="Arial Unicode MS"/>
          <w:bCs/>
          <w:sz w:val="24"/>
          <w:szCs w:val="24"/>
        </w:rPr>
        <w:t xml:space="preserve"> in research (</w:t>
      </w:r>
      <w:proofErr w:type="spellStart"/>
      <w:r w:rsidRPr="00B5003E">
        <w:rPr>
          <w:rFonts w:eastAsia="Arial Unicode MS"/>
          <w:bCs/>
          <w:sz w:val="24"/>
          <w:szCs w:val="24"/>
        </w:rPr>
        <w:t>Jufrizen</w:t>
      </w:r>
      <w:proofErr w:type="spellEnd"/>
      <w:r w:rsidRPr="00B5003E">
        <w:rPr>
          <w:rFonts w:eastAsia="Arial Unicode MS"/>
          <w:bCs/>
          <w:sz w:val="24"/>
          <w:szCs w:val="24"/>
        </w:rPr>
        <w:t xml:space="preserve"> &amp; Sari</w:t>
      </w:r>
      <w:proofErr w:type="gramStart"/>
      <w:r w:rsidRPr="00B5003E">
        <w:rPr>
          <w:rFonts w:eastAsia="Arial Unicode MS"/>
          <w:bCs/>
          <w:sz w:val="24"/>
          <w:szCs w:val="24"/>
        </w:rPr>
        <w:t>,2019</w:t>
      </w:r>
      <w:proofErr w:type="gramEnd"/>
      <w:r w:rsidRPr="00B5003E">
        <w:rPr>
          <w:rFonts w:eastAsia="Arial Unicode MS"/>
          <w:bCs/>
          <w:sz w:val="24"/>
          <w:szCs w:val="24"/>
        </w:rPr>
        <w:t xml:space="preserve">). </w:t>
      </w:r>
      <w:r w:rsidR="00F22BDE">
        <w:rPr>
          <w:b/>
          <w:sz w:val="24"/>
          <w:szCs w:val="24"/>
        </w:rPr>
        <w:t xml:space="preserve"> </w:t>
      </w:r>
      <w:r w:rsidRPr="00B5003E">
        <w:rPr>
          <w:rFonts w:eastAsia="Arial Unicode MS"/>
          <w:bCs/>
          <w:sz w:val="24"/>
          <w:szCs w:val="24"/>
        </w:rPr>
        <w:t xml:space="preserve">Then </w:t>
      </w:r>
      <w:r w:rsidRPr="00B5003E">
        <w:rPr>
          <w:rFonts w:eastAsia="Arial Unicode MS"/>
          <w:bCs/>
          <w:i/>
          <w:iCs/>
          <w:sz w:val="24"/>
          <w:szCs w:val="24"/>
        </w:rPr>
        <w:t>Debt to Equity Ratio</w:t>
      </w:r>
      <w:r w:rsidRPr="00B5003E">
        <w:rPr>
          <w:rFonts w:eastAsia="Arial Unicode MS"/>
          <w:bCs/>
          <w:sz w:val="24"/>
          <w:szCs w:val="24"/>
        </w:rPr>
        <w:t xml:space="preserve"> significant effect on </w:t>
      </w:r>
      <w:proofErr w:type="spellStart"/>
      <w:r w:rsidRPr="00B5003E">
        <w:rPr>
          <w:rFonts w:eastAsia="Arial Unicode MS"/>
          <w:bCs/>
          <w:i/>
          <w:iCs/>
          <w:sz w:val="24"/>
          <w:szCs w:val="24"/>
        </w:rPr>
        <w:t>Retrun</w:t>
      </w:r>
      <w:proofErr w:type="spellEnd"/>
      <w:r w:rsidRPr="00B5003E">
        <w:rPr>
          <w:rFonts w:eastAsia="Arial Unicode MS"/>
          <w:bCs/>
          <w:i/>
          <w:iCs/>
          <w:sz w:val="24"/>
          <w:szCs w:val="24"/>
        </w:rPr>
        <w:t xml:space="preserve">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proofErr w:type="spellStart"/>
      <w:r w:rsidRPr="00B5003E">
        <w:rPr>
          <w:rFonts w:eastAsia="Arial Unicode MS"/>
          <w:bCs/>
          <w:sz w:val="24"/>
          <w:szCs w:val="24"/>
        </w:rPr>
        <w:t>Wahyuni</w:t>
      </w:r>
      <w:proofErr w:type="spellEnd"/>
      <w:r w:rsidRPr="00B5003E">
        <w:rPr>
          <w:rFonts w:eastAsia="Arial Unicode MS"/>
          <w:bCs/>
          <w:sz w:val="24"/>
          <w:szCs w:val="24"/>
        </w:rPr>
        <w:t>, 2017).</w:t>
      </w:r>
      <w:r w:rsidR="00F22BDE">
        <w:rPr>
          <w:b/>
          <w:sz w:val="24"/>
          <w:szCs w:val="24"/>
        </w:rPr>
        <w:t xml:space="preserve"> </w:t>
      </w:r>
      <w:r w:rsidRPr="00B5003E">
        <w:rPr>
          <w:rFonts w:eastAsia="Arial Unicode MS"/>
          <w:bCs/>
          <w:i/>
          <w:iCs/>
          <w:sz w:val="24"/>
          <w:szCs w:val="24"/>
        </w:rPr>
        <w:t>Debt to Equity Ratio</w:t>
      </w:r>
      <w:r w:rsidRPr="00B5003E">
        <w:rPr>
          <w:rFonts w:eastAsia="Arial Unicode MS"/>
          <w:bCs/>
          <w:sz w:val="24"/>
          <w:szCs w:val="24"/>
        </w:rPr>
        <w:t xml:space="preserve"> negative and insignificant effect on </w:t>
      </w:r>
      <w:r w:rsidRPr="00B5003E">
        <w:rPr>
          <w:rFonts w:eastAsia="Arial Unicode MS"/>
          <w:bCs/>
          <w:i/>
          <w:iCs/>
          <w:sz w:val="24"/>
          <w:szCs w:val="24"/>
        </w:rPr>
        <w:t xml:space="preserve">Return On Equity </w:t>
      </w:r>
      <w:proofErr w:type="gramStart"/>
      <w:r w:rsidRPr="00B5003E">
        <w:rPr>
          <w:rFonts w:eastAsia="Arial Unicode MS"/>
          <w:bCs/>
          <w:i/>
          <w:iCs/>
          <w:sz w:val="24"/>
          <w:szCs w:val="24"/>
        </w:rPr>
        <w:t>(</w:t>
      </w:r>
      <w:r w:rsidRPr="00B5003E">
        <w:rPr>
          <w:rFonts w:eastAsia="Arial Unicode MS"/>
          <w:bCs/>
          <w:sz w:val="24"/>
          <w:szCs w:val="24"/>
        </w:rPr>
        <w:t xml:space="preserve"> </w:t>
      </w:r>
      <w:proofErr w:type="spellStart"/>
      <w:r w:rsidRPr="00B5003E">
        <w:rPr>
          <w:rFonts w:eastAsia="Arial Unicode MS"/>
          <w:bCs/>
          <w:sz w:val="24"/>
          <w:szCs w:val="24"/>
        </w:rPr>
        <w:t>Juandi</w:t>
      </w:r>
      <w:proofErr w:type="spellEnd"/>
      <w:proofErr w:type="gramEnd"/>
      <w:r w:rsidRPr="00B5003E">
        <w:rPr>
          <w:rFonts w:eastAsia="Arial Unicode MS"/>
          <w:bCs/>
          <w:sz w:val="24"/>
          <w:szCs w:val="24"/>
        </w:rPr>
        <w:t xml:space="preserve">, </w:t>
      </w:r>
      <w:proofErr w:type="spellStart"/>
      <w:r w:rsidRPr="00B5003E">
        <w:rPr>
          <w:rFonts w:eastAsia="Arial Unicode MS"/>
          <w:bCs/>
          <w:sz w:val="24"/>
          <w:szCs w:val="24"/>
        </w:rPr>
        <w:t>Djamereng</w:t>
      </w:r>
      <w:proofErr w:type="spellEnd"/>
      <w:r w:rsidRPr="00B5003E">
        <w:rPr>
          <w:rFonts w:eastAsia="Arial Unicode MS"/>
          <w:bCs/>
          <w:sz w:val="24"/>
          <w:szCs w:val="24"/>
        </w:rPr>
        <w:t xml:space="preserve">, &amp; Budiandriani,2019). </w:t>
      </w:r>
      <w:r w:rsidR="00F22BDE">
        <w:rPr>
          <w:b/>
          <w:sz w:val="24"/>
          <w:szCs w:val="24"/>
        </w:rPr>
        <w:t xml:space="preserve"> </w:t>
      </w:r>
    </w:p>
    <w:p w:rsidR="00000088" w:rsidRPr="00F22BDE" w:rsidRDefault="00000088" w:rsidP="00F22BDE">
      <w:pPr>
        <w:ind w:firstLine="720"/>
        <w:jc w:val="both"/>
        <w:rPr>
          <w:b/>
          <w:sz w:val="24"/>
          <w:szCs w:val="24"/>
        </w:rPr>
      </w:pPr>
      <w:r w:rsidRPr="00B5003E">
        <w:rPr>
          <w:rFonts w:eastAsia="Arial Unicode MS"/>
          <w:bCs/>
          <w:sz w:val="24"/>
          <w:szCs w:val="24"/>
        </w:rPr>
        <w:t>Meanwhile, according to (</w:t>
      </w:r>
      <w:proofErr w:type="spellStart"/>
      <w:r w:rsidRPr="00B5003E">
        <w:rPr>
          <w:rFonts w:eastAsia="Arial Unicode MS"/>
          <w:bCs/>
          <w:sz w:val="24"/>
          <w:szCs w:val="24"/>
        </w:rPr>
        <w:t>Hasibuan</w:t>
      </w:r>
      <w:proofErr w:type="spellEnd"/>
      <w:r w:rsidRPr="00B5003E">
        <w:rPr>
          <w:rFonts w:eastAsia="Arial Unicode MS"/>
          <w:bCs/>
          <w:sz w:val="24"/>
          <w:szCs w:val="24"/>
        </w:rPr>
        <w:t xml:space="preserve">, 2018) </w:t>
      </w:r>
      <w:r w:rsidRPr="00B5003E">
        <w:rPr>
          <w:rFonts w:eastAsia="Arial Unicode MS"/>
          <w:bCs/>
          <w:i/>
          <w:iCs/>
          <w:sz w:val="24"/>
          <w:szCs w:val="24"/>
        </w:rPr>
        <w:t>Debt to Equity</w:t>
      </w:r>
      <w:r w:rsidRPr="00B5003E">
        <w:rPr>
          <w:rFonts w:eastAsia="Arial Unicode MS"/>
          <w:bCs/>
          <w:sz w:val="24"/>
          <w:szCs w:val="24"/>
        </w:rPr>
        <w:t xml:space="preserve"> effect on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w:t>
      </w:r>
      <w:r w:rsidRPr="00B5003E">
        <w:rPr>
          <w:rFonts w:eastAsia="Arial Unicode MS"/>
          <w:bCs/>
          <w:sz w:val="24"/>
          <w:szCs w:val="24"/>
        </w:rPr>
        <w:t xml:space="preserve"> It can be concluded that, a high solvency ratio will result in a decrease in </w:t>
      </w:r>
      <w:proofErr w:type="spellStart"/>
      <w:r w:rsidRPr="00B5003E">
        <w:rPr>
          <w:rFonts w:eastAsia="Arial Unicode MS"/>
          <w:bCs/>
          <w:sz w:val="24"/>
          <w:szCs w:val="24"/>
        </w:rPr>
        <w:t>profitability.Based</w:t>
      </w:r>
      <w:proofErr w:type="spellEnd"/>
      <w:r w:rsidRPr="00B5003E">
        <w:rPr>
          <w:rFonts w:eastAsia="Arial Unicode MS"/>
          <w:bCs/>
          <w:sz w:val="24"/>
          <w:szCs w:val="24"/>
        </w:rPr>
        <w:t xml:space="preserve"> on the research above, it can be concluded that the insight is variable </w:t>
      </w:r>
      <w:r w:rsidRPr="00B5003E">
        <w:rPr>
          <w:rFonts w:eastAsia="Arial Unicode MS"/>
          <w:bCs/>
          <w:i/>
          <w:iCs/>
          <w:sz w:val="24"/>
          <w:szCs w:val="24"/>
        </w:rPr>
        <w:t>Debt To Equity Ratio</w:t>
      </w:r>
      <w:r w:rsidRPr="00B5003E">
        <w:rPr>
          <w:rFonts w:eastAsia="Arial Unicode MS"/>
          <w:bCs/>
          <w:sz w:val="24"/>
          <w:szCs w:val="24"/>
        </w:rPr>
        <w:t xml:space="preserve"> has a significant effect on the dependent variable </w:t>
      </w:r>
      <w:r w:rsidRPr="00B5003E">
        <w:rPr>
          <w:rFonts w:eastAsia="Arial Unicode MS"/>
          <w:bCs/>
          <w:i/>
          <w:iCs/>
          <w:sz w:val="24"/>
          <w:szCs w:val="24"/>
        </w:rPr>
        <w:t>Return On Equity</w:t>
      </w:r>
      <w:r w:rsidRPr="00B5003E">
        <w:rPr>
          <w:rFonts w:eastAsia="Arial Unicode MS"/>
          <w:bCs/>
          <w:sz w:val="24"/>
          <w:szCs w:val="24"/>
        </w:rPr>
        <w:t xml:space="preserve">(ROE). This explains that </w:t>
      </w:r>
      <w:r w:rsidRPr="00B5003E">
        <w:rPr>
          <w:rFonts w:eastAsia="Arial Unicode MS"/>
          <w:bCs/>
          <w:i/>
          <w:iCs/>
          <w:sz w:val="24"/>
          <w:szCs w:val="24"/>
        </w:rPr>
        <w:t>Debt to Equity Ratio</w:t>
      </w:r>
      <w:r w:rsidRPr="00B5003E">
        <w:rPr>
          <w:rFonts w:eastAsia="Arial Unicode MS"/>
          <w:bCs/>
          <w:sz w:val="24"/>
          <w:szCs w:val="24"/>
        </w:rPr>
        <w:t xml:space="preserve"> which tends to explain that the company has a responsibility on a third party in completing its obligations.</w:t>
      </w:r>
    </w:p>
    <w:p w:rsidR="00000088" w:rsidRPr="00B5003E" w:rsidRDefault="00000088" w:rsidP="00000088">
      <w:pPr>
        <w:rPr>
          <w:sz w:val="24"/>
          <w:szCs w:val="24"/>
        </w:rPr>
      </w:pPr>
    </w:p>
    <w:p w:rsidR="00000088" w:rsidRDefault="00000088" w:rsidP="00000088">
      <w:pPr>
        <w:rPr>
          <w:sz w:val="24"/>
          <w:szCs w:val="24"/>
        </w:rPr>
      </w:pPr>
    </w:p>
    <w:p w:rsidR="00EC3D04" w:rsidRPr="00B5003E" w:rsidRDefault="00EC3D04" w:rsidP="00000088">
      <w:pPr>
        <w:rPr>
          <w:sz w:val="24"/>
          <w:szCs w:val="24"/>
        </w:rPr>
      </w:pPr>
    </w:p>
    <w:p w:rsidR="00EC3D04" w:rsidRDefault="00000088" w:rsidP="00EC3D04">
      <w:pPr>
        <w:rPr>
          <w:b/>
          <w:sz w:val="24"/>
          <w:szCs w:val="24"/>
        </w:rPr>
      </w:pPr>
      <w:r w:rsidRPr="00B5003E">
        <w:rPr>
          <w:rFonts w:eastAsia="Arial Unicode MS"/>
          <w:b/>
          <w:bCs/>
          <w:sz w:val="24"/>
          <w:szCs w:val="24"/>
        </w:rPr>
        <w:t xml:space="preserve">Influence </w:t>
      </w:r>
      <w:r w:rsidRPr="00B5003E">
        <w:rPr>
          <w:rFonts w:eastAsia="Arial Unicode MS"/>
          <w:b/>
          <w:bCs/>
          <w:i/>
          <w:iCs/>
          <w:sz w:val="24"/>
          <w:szCs w:val="24"/>
        </w:rPr>
        <w:t xml:space="preserve">Total Asset Turnover </w:t>
      </w:r>
      <w:r w:rsidRPr="00EC3D04">
        <w:rPr>
          <w:rFonts w:eastAsia="Arial Unicode MS"/>
          <w:b/>
          <w:bCs/>
          <w:iCs/>
          <w:sz w:val="24"/>
          <w:szCs w:val="24"/>
        </w:rPr>
        <w:t>(</w:t>
      </w:r>
      <w:r w:rsidRPr="00B5003E">
        <w:rPr>
          <w:rFonts w:eastAsia="Arial Unicode MS"/>
          <w:b/>
          <w:bCs/>
          <w:sz w:val="24"/>
          <w:szCs w:val="24"/>
        </w:rPr>
        <w:t xml:space="preserve">TATO) against </w:t>
      </w:r>
      <w:r w:rsidRPr="00B5003E">
        <w:rPr>
          <w:rFonts w:eastAsia="Arial Unicode MS"/>
          <w:b/>
          <w:bCs/>
          <w:i/>
          <w:iCs/>
          <w:sz w:val="24"/>
          <w:szCs w:val="24"/>
        </w:rPr>
        <w:t xml:space="preserve">Return On Equity </w:t>
      </w:r>
      <w:proofErr w:type="gramStart"/>
      <w:r w:rsidRPr="00B5003E">
        <w:rPr>
          <w:rFonts w:eastAsia="Arial Unicode MS"/>
          <w:b/>
          <w:bCs/>
          <w:i/>
          <w:iCs/>
          <w:sz w:val="24"/>
          <w:szCs w:val="24"/>
        </w:rPr>
        <w:t>(</w:t>
      </w:r>
      <w:r w:rsidRPr="00B5003E">
        <w:rPr>
          <w:rFonts w:eastAsia="Arial Unicode MS"/>
          <w:b/>
          <w:bCs/>
          <w:sz w:val="24"/>
          <w:szCs w:val="24"/>
        </w:rPr>
        <w:t xml:space="preserve"> ROE</w:t>
      </w:r>
      <w:proofErr w:type="gramEnd"/>
      <w:r w:rsidRPr="00B5003E">
        <w:rPr>
          <w:rFonts w:eastAsia="Arial Unicode MS"/>
          <w:b/>
          <w:bCs/>
          <w:sz w:val="24"/>
          <w:szCs w:val="24"/>
        </w:rPr>
        <w:t>)</w:t>
      </w:r>
    </w:p>
    <w:p w:rsidR="00EC3D04" w:rsidRDefault="00000088" w:rsidP="00EC3D04">
      <w:pPr>
        <w:ind w:firstLine="620"/>
        <w:jc w:val="both"/>
        <w:rPr>
          <w:b/>
          <w:sz w:val="24"/>
          <w:szCs w:val="24"/>
        </w:rPr>
      </w:pPr>
      <w:r w:rsidRPr="00B5003E">
        <w:rPr>
          <w:rFonts w:eastAsia="Arial Unicode MS"/>
          <w:bCs/>
          <w:sz w:val="24"/>
          <w:szCs w:val="24"/>
        </w:rPr>
        <w:t>Total asset turnover is one of the activity ratios used to determine the effectiveness of a company in managing its business. The company's operating activities require investment, both for short-term assets (Inventory and Account Receivable) and long-term (Property Plans, and Equipment). This ratio illustrates the relationship between the level of the company's sales operation and the company's assets needed to support the company's operations.</w:t>
      </w:r>
    </w:p>
    <w:p w:rsidR="00CE7B8C" w:rsidRPr="00EC3D04" w:rsidRDefault="00000088" w:rsidP="00EC3D04">
      <w:pPr>
        <w:ind w:firstLine="620"/>
        <w:jc w:val="both"/>
        <w:rPr>
          <w:b/>
          <w:sz w:val="24"/>
          <w:szCs w:val="24"/>
        </w:rPr>
      </w:pPr>
      <w:r w:rsidRPr="00B5003E">
        <w:rPr>
          <w:rFonts w:eastAsia="Arial Unicode MS"/>
          <w:bCs/>
          <w:i/>
          <w:iCs/>
          <w:sz w:val="24"/>
          <w:szCs w:val="24"/>
        </w:rPr>
        <w:lastRenderedPageBreak/>
        <w:t xml:space="preserve">Total Asset Turnover </w:t>
      </w:r>
      <w:r w:rsidRPr="00B5003E">
        <w:rPr>
          <w:rFonts w:eastAsia="Arial Unicode MS"/>
          <w:bCs/>
          <w:sz w:val="24"/>
          <w:szCs w:val="24"/>
        </w:rPr>
        <w:t>measures how efficiently a company uses assets to obtain company sales</w:t>
      </w:r>
      <w:r w:rsidR="00EC3D04">
        <w:rPr>
          <w:b/>
          <w:sz w:val="24"/>
          <w:szCs w:val="24"/>
        </w:rPr>
        <w:t xml:space="preserve"> </w:t>
      </w:r>
      <w:r w:rsidRPr="00B5003E">
        <w:rPr>
          <w:rFonts w:eastAsia="Arial Unicode MS"/>
          <w:bCs/>
          <w:sz w:val="24"/>
          <w:szCs w:val="24"/>
        </w:rPr>
        <w:t>(</w:t>
      </w:r>
      <w:proofErr w:type="spellStart"/>
      <w:r w:rsidRPr="00B5003E">
        <w:rPr>
          <w:rFonts w:eastAsia="Arial Unicode MS"/>
          <w:bCs/>
          <w:sz w:val="24"/>
          <w:szCs w:val="24"/>
        </w:rPr>
        <w:t>Wahyuni</w:t>
      </w:r>
      <w:proofErr w:type="spellEnd"/>
      <w:r w:rsidRPr="00B5003E">
        <w:rPr>
          <w:rFonts w:eastAsia="Arial Unicode MS"/>
          <w:bCs/>
          <w:sz w:val="24"/>
          <w:szCs w:val="24"/>
        </w:rPr>
        <w:t xml:space="preserve">, 2017). Based on the results of research conducted that </w:t>
      </w:r>
      <w:r w:rsidRPr="00B5003E">
        <w:rPr>
          <w:rFonts w:eastAsia="Arial Unicode MS"/>
          <w:bCs/>
          <w:i/>
          <w:iCs/>
          <w:sz w:val="24"/>
          <w:szCs w:val="24"/>
        </w:rPr>
        <w:t>Total Asset Turnover</w:t>
      </w:r>
      <w:r w:rsidRPr="00B5003E">
        <w:rPr>
          <w:rFonts w:eastAsia="Arial Unicode MS"/>
          <w:bCs/>
          <w:sz w:val="24"/>
          <w:szCs w:val="24"/>
        </w:rPr>
        <w:t xml:space="preserve"> significant effect on </w:t>
      </w:r>
      <w:proofErr w:type="spellStart"/>
      <w:r w:rsidRPr="00B5003E">
        <w:rPr>
          <w:rFonts w:eastAsia="Arial Unicode MS"/>
          <w:bCs/>
          <w:i/>
          <w:iCs/>
          <w:sz w:val="24"/>
          <w:szCs w:val="24"/>
        </w:rPr>
        <w:t>ReturnOn</w:t>
      </w:r>
      <w:proofErr w:type="spellEnd"/>
      <w:r w:rsidRPr="00B5003E">
        <w:rPr>
          <w:rFonts w:eastAsia="Arial Unicode MS"/>
          <w:bCs/>
          <w:i/>
          <w:iCs/>
          <w:sz w:val="24"/>
          <w:szCs w:val="24"/>
        </w:rPr>
        <w:t xml:space="preserve"> Equity </w:t>
      </w:r>
      <w:proofErr w:type="gramStart"/>
      <w:r w:rsidRPr="00B5003E">
        <w:rPr>
          <w:rFonts w:eastAsia="Arial Unicode MS"/>
          <w:bCs/>
          <w:i/>
          <w:iCs/>
          <w:sz w:val="24"/>
          <w:szCs w:val="24"/>
        </w:rPr>
        <w:t xml:space="preserve">( </w:t>
      </w:r>
      <w:proofErr w:type="spellStart"/>
      <w:r w:rsidRPr="00B5003E">
        <w:rPr>
          <w:rFonts w:eastAsia="Arial Unicode MS"/>
          <w:bCs/>
          <w:sz w:val="24"/>
          <w:szCs w:val="24"/>
        </w:rPr>
        <w:t>Jufrizen</w:t>
      </w:r>
      <w:proofErr w:type="spellEnd"/>
      <w:proofErr w:type="gramEnd"/>
      <w:r w:rsidRPr="00B5003E">
        <w:rPr>
          <w:rFonts w:eastAsia="Arial Unicode MS"/>
          <w:bCs/>
          <w:sz w:val="24"/>
          <w:szCs w:val="24"/>
        </w:rPr>
        <w:t>&amp; Sari, 2019).</w:t>
      </w:r>
    </w:p>
    <w:p w:rsidR="00CE7B8C" w:rsidRDefault="00000088" w:rsidP="00CE7B8C">
      <w:pPr>
        <w:ind w:firstLine="566"/>
        <w:jc w:val="both"/>
        <w:rPr>
          <w:sz w:val="24"/>
          <w:szCs w:val="24"/>
        </w:rPr>
      </w:pPr>
      <w:r w:rsidRPr="00B5003E">
        <w:rPr>
          <w:rFonts w:eastAsia="Arial Unicode MS"/>
          <w:bCs/>
          <w:sz w:val="24"/>
          <w:szCs w:val="24"/>
        </w:rPr>
        <w:t xml:space="preserve">Based on the results of research conducted partially, it shows that partially working capital turnover has no significant effect on </w:t>
      </w:r>
      <w:r w:rsidRPr="00B5003E">
        <w:rPr>
          <w:rFonts w:eastAsia="Arial Unicode MS"/>
          <w:bCs/>
          <w:i/>
          <w:iCs/>
          <w:sz w:val="24"/>
          <w:szCs w:val="24"/>
        </w:rPr>
        <w:t xml:space="preserve">return on equity </w:t>
      </w:r>
      <w:r w:rsidRPr="00EC3D04">
        <w:rPr>
          <w:rFonts w:eastAsia="Arial Unicode MS"/>
          <w:bCs/>
          <w:iCs/>
          <w:sz w:val="24"/>
          <w:szCs w:val="24"/>
        </w:rPr>
        <w:t>(</w:t>
      </w:r>
      <w:r w:rsidRPr="00B5003E">
        <w:rPr>
          <w:rFonts w:eastAsia="Arial Unicode MS"/>
          <w:bCs/>
          <w:sz w:val="24"/>
          <w:szCs w:val="24"/>
        </w:rPr>
        <w:t xml:space="preserve">Jessica, Lilia, </w:t>
      </w:r>
      <w:proofErr w:type="spellStart"/>
      <w:r w:rsidRPr="00B5003E">
        <w:rPr>
          <w:rFonts w:eastAsia="Arial Unicode MS"/>
          <w:bCs/>
          <w:sz w:val="24"/>
          <w:szCs w:val="24"/>
        </w:rPr>
        <w:t>Leonardy</w:t>
      </w:r>
      <w:proofErr w:type="spellEnd"/>
      <w:r w:rsidRPr="00B5003E">
        <w:rPr>
          <w:rFonts w:eastAsia="Arial Unicode MS"/>
          <w:bCs/>
          <w:sz w:val="24"/>
          <w:szCs w:val="24"/>
        </w:rPr>
        <w:t xml:space="preserve">, </w:t>
      </w:r>
      <w:proofErr w:type="spellStart"/>
      <w:r w:rsidRPr="00B5003E">
        <w:rPr>
          <w:rFonts w:eastAsia="Arial Unicode MS"/>
          <w:bCs/>
          <w:sz w:val="24"/>
          <w:szCs w:val="24"/>
        </w:rPr>
        <w:t>Kartika</w:t>
      </w:r>
      <w:proofErr w:type="spellEnd"/>
      <w:r w:rsidRPr="00B5003E">
        <w:rPr>
          <w:rFonts w:eastAsia="Arial Unicode MS"/>
          <w:bCs/>
          <w:sz w:val="24"/>
          <w:szCs w:val="24"/>
        </w:rPr>
        <w:t xml:space="preserve">, &amp; </w:t>
      </w:r>
      <w:proofErr w:type="spellStart"/>
      <w:r w:rsidRPr="00B5003E">
        <w:rPr>
          <w:rFonts w:eastAsia="Arial Unicode MS"/>
          <w:bCs/>
          <w:sz w:val="24"/>
          <w:szCs w:val="24"/>
        </w:rPr>
        <w:t>Panggabean</w:t>
      </w:r>
      <w:proofErr w:type="spellEnd"/>
      <w:r w:rsidRPr="00B5003E">
        <w:rPr>
          <w:rFonts w:eastAsia="Arial Unicode MS"/>
          <w:bCs/>
          <w:sz w:val="24"/>
          <w:szCs w:val="24"/>
        </w:rPr>
        <w:t xml:space="preserve">, 2020). </w:t>
      </w:r>
    </w:p>
    <w:p w:rsidR="00000088" w:rsidRPr="00B5003E" w:rsidRDefault="00000088" w:rsidP="00CE7B8C">
      <w:pPr>
        <w:ind w:firstLine="566"/>
        <w:jc w:val="both"/>
        <w:rPr>
          <w:sz w:val="24"/>
          <w:szCs w:val="24"/>
        </w:rPr>
      </w:pPr>
      <w:r w:rsidRPr="00B5003E">
        <w:rPr>
          <w:rFonts w:eastAsia="Arial Unicode MS"/>
          <w:bCs/>
          <w:sz w:val="24"/>
          <w:szCs w:val="24"/>
        </w:rPr>
        <w:t>Meanwhile, according to (</w:t>
      </w:r>
      <w:proofErr w:type="spellStart"/>
      <w:r w:rsidRPr="00B5003E">
        <w:rPr>
          <w:rFonts w:eastAsia="Arial Unicode MS"/>
          <w:bCs/>
          <w:sz w:val="24"/>
          <w:szCs w:val="24"/>
        </w:rPr>
        <w:t>Jufrizen</w:t>
      </w:r>
      <w:proofErr w:type="spellEnd"/>
      <w:r w:rsidRPr="00B5003E">
        <w:rPr>
          <w:rFonts w:eastAsia="Arial Unicode MS"/>
          <w:bCs/>
          <w:sz w:val="24"/>
          <w:szCs w:val="24"/>
        </w:rPr>
        <w:t xml:space="preserve">, 2015) it can be concluded that </w:t>
      </w:r>
      <w:r w:rsidRPr="00B5003E">
        <w:rPr>
          <w:rFonts w:eastAsia="Arial Unicode MS"/>
          <w:bCs/>
          <w:i/>
          <w:iCs/>
          <w:sz w:val="24"/>
          <w:szCs w:val="24"/>
        </w:rPr>
        <w:t>Total Asset Turnover</w:t>
      </w:r>
      <w:r w:rsidRPr="00B5003E">
        <w:rPr>
          <w:rFonts w:eastAsia="Arial Unicode MS"/>
          <w:bCs/>
          <w:sz w:val="24"/>
          <w:szCs w:val="24"/>
        </w:rPr>
        <w:t xml:space="preserve"> H0 is rejected and Ha is accepted, that is </w:t>
      </w:r>
      <w:r w:rsidRPr="00B5003E">
        <w:rPr>
          <w:rFonts w:eastAsia="Arial Unicode MS"/>
          <w:bCs/>
          <w:i/>
          <w:iCs/>
          <w:sz w:val="24"/>
          <w:szCs w:val="24"/>
        </w:rPr>
        <w:t xml:space="preserve">Total Asset </w:t>
      </w:r>
      <w:proofErr w:type="spellStart"/>
      <w:r w:rsidRPr="00B5003E">
        <w:rPr>
          <w:rFonts w:eastAsia="Arial Unicode MS"/>
          <w:bCs/>
          <w:i/>
          <w:iCs/>
          <w:sz w:val="24"/>
          <w:szCs w:val="24"/>
        </w:rPr>
        <w:t>Turnover</w:t>
      </w:r>
      <w:bookmarkStart w:id="5" w:name="page8"/>
      <w:bookmarkEnd w:id="5"/>
      <w:r w:rsidRPr="00B5003E">
        <w:rPr>
          <w:rFonts w:eastAsia="Arial Unicode MS"/>
          <w:bCs/>
          <w:sz w:val="24"/>
          <w:szCs w:val="24"/>
        </w:rPr>
        <w:t>significant</w:t>
      </w:r>
      <w:proofErr w:type="spellEnd"/>
      <w:r w:rsidRPr="00B5003E">
        <w:rPr>
          <w:rFonts w:eastAsia="Arial Unicode MS"/>
          <w:bCs/>
          <w:sz w:val="24"/>
          <w:szCs w:val="24"/>
        </w:rPr>
        <w:t xml:space="preserve"> effect on </w:t>
      </w:r>
      <w:r w:rsidRPr="00B5003E">
        <w:rPr>
          <w:rFonts w:eastAsia="Arial Unicode MS"/>
          <w:bCs/>
          <w:i/>
          <w:iCs/>
          <w:sz w:val="24"/>
          <w:szCs w:val="24"/>
        </w:rPr>
        <w:t xml:space="preserve">Return On </w:t>
      </w:r>
      <w:proofErr w:type="spellStart"/>
      <w:r w:rsidRPr="00B5003E">
        <w:rPr>
          <w:rFonts w:eastAsia="Arial Unicode MS"/>
          <w:bCs/>
          <w:i/>
          <w:iCs/>
          <w:sz w:val="24"/>
          <w:szCs w:val="24"/>
        </w:rPr>
        <w:t>Equity.</w:t>
      </w:r>
      <w:r w:rsidRPr="00B5003E">
        <w:rPr>
          <w:rFonts w:eastAsia="Arial Unicode MS"/>
          <w:bCs/>
          <w:sz w:val="24"/>
          <w:szCs w:val="24"/>
        </w:rPr>
        <w:t>Then</w:t>
      </w:r>
      <w:proofErr w:type="spellEnd"/>
      <w:r w:rsidRPr="00B5003E">
        <w:rPr>
          <w:rFonts w:eastAsia="Arial Unicode MS"/>
          <w:bCs/>
          <w:sz w:val="24"/>
          <w:szCs w:val="24"/>
        </w:rPr>
        <w:t xml:space="preserve"> the above research </w:t>
      </w:r>
      <w:proofErr w:type="spellStart"/>
      <w:r w:rsidRPr="00B5003E">
        <w:rPr>
          <w:rFonts w:eastAsia="Arial Unicode MS"/>
          <w:bCs/>
          <w:sz w:val="24"/>
          <w:szCs w:val="24"/>
        </w:rPr>
        <w:t>canit</w:t>
      </w:r>
      <w:proofErr w:type="spellEnd"/>
      <w:r w:rsidRPr="00B5003E">
        <w:rPr>
          <w:rFonts w:eastAsia="Arial Unicode MS"/>
          <w:bCs/>
          <w:sz w:val="24"/>
          <w:szCs w:val="24"/>
        </w:rPr>
        <w:t xml:space="preserve"> can be concluded that it is variable </w:t>
      </w:r>
      <w:r w:rsidRPr="00B5003E">
        <w:rPr>
          <w:rFonts w:eastAsia="Arial Unicode MS"/>
          <w:bCs/>
          <w:i/>
          <w:iCs/>
          <w:sz w:val="24"/>
          <w:szCs w:val="24"/>
        </w:rPr>
        <w:t>Total Asset Turnover</w:t>
      </w:r>
      <w:r w:rsidRPr="00B5003E">
        <w:rPr>
          <w:rFonts w:eastAsia="Arial Unicode MS"/>
          <w:bCs/>
          <w:sz w:val="24"/>
          <w:szCs w:val="24"/>
        </w:rPr>
        <w:t xml:space="preserve"> has no significant effect on the dependent variable </w:t>
      </w:r>
      <w:proofErr w:type="spellStart"/>
      <w:r w:rsidRPr="00B5003E">
        <w:rPr>
          <w:rFonts w:eastAsia="Arial Unicode MS"/>
          <w:bCs/>
          <w:i/>
          <w:iCs/>
          <w:sz w:val="24"/>
          <w:szCs w:val="24"/>
        </w:rPr>
        <w:t>ReturnOn</w:t>
      </w:r>
      <w:proofErr w:type="spellEnd"/>
      <w:r w:rsidRPr="00B5003E">
        <w:rPr>
          <w:rFonts w:eastAsia="Arial Unicode MS"/>
          <w:bCs/>
          <w:i/>
          <w:iCs/>
          <w:sz w:val="24"/>
          <w:szCs w:val="24"/>
        </w:rPr>
        <w:t xml:space="preserve"> Equity </w:t>
      </w:r>
      <w:r w:rsidR="00EC3D04">
        <w:rPr>
          <w:rFonts w:eastAsia="Arial Unicode MS"/>
          <w:bCs/>
          <w:iCs/>
          <w:sz w:val="24"/>
          <w:szCs w:val="24"/>
        </w:rPr>
        <w:t>(</w:t>
      </w:r>
      <w:r w:rsidRPr="00B5003E">
        <w:rPr>
          <w:rFonts w:eastAsia="Arial Unicode MS"/>
          <w:bCs/>
          <w:sz w:val="24"/>
          <w:szCs w:val="24"/>
        </w:rPr>
        <w:t>ROE). This is due to</w:t>
      </w:r>
      <w:r w:rsidRPr="00B5003E">
        <w:rPr>
          <w:rFonts w:eastAsia="Arial Unicode MS"/>
          <w:bCs/>
          <w:i/>
          <w:iCs/>
          <w:sz w:val="24"/>
          <w:szCs w:val="24"/>
        </w:rPr>
        <w:t xml:space="preserve"> Net Profit Margin </w:t>
      </w:r>
      <w:r w:rsidRPr="00B5003E">
        <w:rPr>
          <w:rFonts w:eastAsia="Arial Unicode MS"/>
          <w:bCs/>
          <w:sz w:val="24"/>
          <w:szCs w:val="24"/>
        </w:rPr>
        <w:t xml:space="preserve">does not represent all components of the company </w:t>
      </w:r>
      <w:proofErr w:type="spellStart"/>
      <w:r w:rsidRPr="00B5003E">
        <w:rPr>
          <w:rFonts w:eastAsia="Arial Unicode MS"/>
          <w:bCs/>
          <w:sz w:val="24"/>
          <w:szCs w:val="24"/>
        </w:rPr>
        <w:t>inachieving</w:t>
      </w:r>
      <w:proofErr w:type="spellEnd"/>
      <w:r w:rsidRPr="00B5003E">
        <w:rPr>
          <w:rFonts w:eastAsia="Arial Unicode MS"/>
          <w:bCs/>
          <w:sz w:val="24"/>
          <w:szCs w:val="24"/>
        </w:rPr>
        <w:t xml:space="preserve"> net income.</w:t>
      </w:r>
    </w:p>
    <w:p w:rsidR="00000088" w:rsidRPr="00B5003E" w:rsidRDefault="00000088" w:rsidP="00000088">
      <w:pPr>
        <w:rPr>
          <w:sz w:val="24"/>
          <w:szCs w:val="24"/>
        </w:rPr>
      </w:pPr>
    </w:p>
    <w:p w:rsidR="00CE7B8C" w:rsidRDefault="00000088" w:rsidP="00EC3D04">
      <w:pPr>
        <w:jc w:val="both"/>
        <w:rPr>
          <w:b/>
          <w:sz w:val="24"/>
          <w:szCs w:val="24"/>
        </w:rPr>
      </w:pPr>
      <w:r w:rsidRPr="00B5003E">
        <w:rPr>
          <w:rFonts w:eastAsia="Arial Unicode MS"/>
          <w:b/>
          <w:bCs/>
          <w:sz w:val="24"/>
          <w:szCs w:val="24"/>
        </w:rPr>
        <w:t xml:space="preserve">Influence </w:t>
      </w:r>
      <w:r w:rsidRPr="00B5003E">
        <w:rPr>
          <w:rFonts w:eastAsia="Arial Unicode MS"/>
          <w:b/>
          <w:bCs/>
          <w:i/>
          <w:iCs/>
          <w:sz w:val="24"/>
          <w:szCs w:val="24"/>
        </w:rPr>
        <w:t xml:space="preserve">Current Ratio </w:t>
      </w:r>
      <w:proofErr w:type="gramStart"/>
      <w:r w:rsidRPr="00B5003E">
        <w:rPr>
          <w:rFonts w:eastAsia="Arial Unicode MS"/>
          <w:b/>
          <w:bCs/>
          <w:i/>
          <w:iCs/>
          <w:sz w:val="24"/>
          <w:szCs w:val="24"/>
        </w:rPr>
        <w:t>(</w:t>
      </w:r>
      <w:r w:rsidRPr="00B5003E">
        <w:rPr>
          <w:rFonts w:eastAsia="Arial Unicode MS"/>
          <w:b/>
          <w:bCs/>
          <w:sz w:val="24"/>
          <w:szCs w:val="24"/>
        </w:rPr>
        <w:t xml:space="preserve"> CR</w:t>
      </w:r>
      <w:proofErr w:type="gramEnd"/>
      <w:r w:rsidRPr="00B5003E">
        <w:rPr>
          <w:rFonts w:eastAsia="Arial Unicode MS"/>
          <w:b/>
          <w:bCs/>
          <w:sz w:val="24"/>
          <w:szCs w:val="24"/>
        </w:rPr>
        <w:t xml:space="preserve">), </w:t>
      </w:r>
      <w:r w:rsidRPr="00B5003E">
        <w:rPr>
          <w:rFonts w:eastAsia="Arial Unicode MS"/>
          <w:b/>
          <w:bCs/>
          <w:i/>
          <w:iCs/>
          <w:sz w:val="24"/>
          <w:szCs w:val="24"/>
        </w:rPr>
        <w:t>Debt To Equity Ratio (</w:t>
      </w:r>
      <w:r w:rsidRPr="00B5003E">
        <w:rPr>
          <w:rFonts w:eastAsia="Arial Unicode MS"/>
          <w:b/>
          <w:bCs/>
          <w:sz w:val="24"/>
          <w:szCs w:val="24"/>
        </w:rPr>
        <w:t xml:space="preserve"> DER) and </w:t>
      </w:r>
      <w:r w:rsidRPr="00B5003E">
        <w:rPr>
          <w:rFonts w:eastAsia="Arial Unicode MS"/>
          <w:b/>
          <w:bCs/>
          <w:i/>
          <w:iCs/>
          <w:sz w:val="24"/>
          <w:szCs w:val="24"/>
        </w:rPr>
        <w:t>Total Asset Turnover</w:t>
      </w:r>
      <w:r w:rsidR="00EC3D04">
        <w:rPr>
          <w:b/>
          <w:sz w:val="24"/>
          <w:szCs w:val="24"/>
        </w:rPr>
        <w:t xml:space="preserve"> </w:t>
      </w:r>
      <w:r w:rsidR="00EC3D04">
        <w:rPr>
          <w:rFonts w:eastAsia="Arial Unicode MS"/>
          <w:b/>
          <w:bCs/>
          <w:sz w:val="24"/>
          <w:szCs w:val="24"/>
        </w:rPr>
        <w:t>(TATO</w:t>
      </w:r>
      <w:r w:rsidRPr="00B5003E">
        <w:rPr>
          <w:rFonts w:eastAsia="Arial Unicode MS"/>
          <w:b/>
          <w:bCs/>
          <w:sz w:val="24"/>
          <w:szCs w:val="24"/>
        </w:rPr>
        <w:t xml:space="preserve">) against </w:t>
      </w:r>
      <w:r w:rsidRPr="00B5003E">
        <w:rPr>
          <w:rFonts w:eastAsia="Arial Unicode MS"/>
          <w:b/>
          <w:bCs/>
          <w:i/>
          <w:iCs/>
          <w:sz w:val="24"/>
          <w:szCs w:val="24"/>
        </w:rPr>
        <w:t>Return On Equity (</w:t>
      </w:r>
      <w:r w:rsidRPr="00B5003E">
        <w:rPr>
          <w:rFonts w:eastAsia="Arial Unicode MS"/>
          <w:b/>
          <w:bCs/>
          <w:sz w:val="24"/>
          <w:szCs w:val="24"/>
        </w:rPr>
        <w:t xml:space="preserve"> ROE)</w:t>
      </w:r>
    </w:p>
    <w:p w:rsidR="00CE7B8C" w:rsidRDefault="00000088" w:rsidP="00EC3D04">
      <w:pPr>
        <w:ind w:firstLine="600"/>
        <w:jc w:val="both"/>
        <w:rPr>
          <w:rFonts w:eastAsia="Arial Unicode MS"/>
          <w:bCs/>
          <w:sz w:val="24"/>
          <w:szCs w:val="24"/>
        </w:rPr>
      </w:pPr>
      <w:r w:rsidRPr="00B5003E">
        <w:rPr>
          <w:rFonts w:eastAsia="Arial Unicode MS"/>
          <w:bCs/>
          <w:sz w:val="24"/>
          <w:szCs w:val="24"/>
        </w:rPr>
        <w:t>Based on the results of the research conducted, it shows that there is a significant effect simultaneously between DER, CR, TATO, on ROE. And partially, they have a significant negative effect on ROE, while DER, CR, and TATO have no effect on ROE (</w:t>
      </w:r>
      <w:proofErr w:type="spellStart"/>
      <w:r w:rsidRPr="00B5003E">
        <w:rPr>
          <w:rFonts w:eastAsia="Arial Unicode MS"/>
          <w:bCs/>
          <w:sz w:val="24"/>
          <w:szCs w:val="24"/>
        </w:rPr>
        <w:t>Destari</w:t>
      </w:r>
      <w:proofErr w:type="spellEnd"/>
      <w:r w:rsidRPr="00B5003E">
        <w:rPr>
          <w:rFonts w:eastAsia="Arial Unicode MS"/>
          <w:bCs/>
          <w:sz w:val="24"/>
          <w:szCs w:val="24"/>
        </w:rPr>
        <w:t xml:space="preserve"> &amp; </w:t>
      </w:r>
      <w:proofErr w:type="spellStart"/>
      <w:r w:rsidRPr="00B5003E">
        <w:rPr>
          <w:rFonts w:eastAsia="Arial Unicode MS"/>
          <w:bCs/>
          <w:sz w:val="24"/>
          <w:szCs w:val="24"/>
        </w:rPr>
        <w:t>Hendratno</w:t>
      </w:r>
      <w:proofErr w:type="spellEnd"/>
      <w:r w:rsidRPr="00B5003E">
        <w:rPr>
          <w:rFonts w:eastAsia="Arial Unicode MS"/>
          <w:bCs/>
          <w:sz w:val="24"/>
          <w:szCs w:val="24"/>
        </w:rPr>
        <w:t>, 2019).</w:t>
      </w:r>
    </w:p>
    <w:p w:rsidR="00CE7B8C" w:rsidRDefault="00000088" w:rsidP="00CE7B8C">
      <w:pPr>
        <w:ind w:firstLine="600"/>
        <w:jc w:val="both"/>
        <w:rPr>
          <w:sz w:val="24"/>
          <w:szCs w:val="24"/>
        </w:rPr>
      </w:pPr>
      <w:r w:rsidRPr="00B5003E">
        <w:rPr>
          <w:rFonts w:eastAsia="Arial Unicode MS"/>
          <w:bCs/>
          <w:sz w:val="24"/>
          <w:szCs w:val="24"/>
        </w:rPr>
        <w:t>Based on the results of research carried out, the results of this study indicate that the variables CR, DER, and TATO simultaneously influence ROE (</w:t>
      </w:r>
      <w:proofErr w:type="spellStart"/>
      <w:r w:rsidRPr="00B5003E">
        <w:rPr>
          <w:rFonts w:eastAsia="Arial Unicode MS"/>
          <w:bCs/>
          <w:sz w:val="24"/>
          <w:szCs w:val="24"/>
        </w:rPr>
        <w:t>Argananta</w:t>
      </w:r>
      <w:proofErr w:type="spellEnd"/>
      <w:r w:rsidRPr="00B5003E">
        <w:rPr>
          <w:rFonts w:eastAsia="Arial Unicode MS"/>
          <w:bCs/>
          <w:sz w:val="24"/>
          <w:szCs w:val="24"/>
        </w:rPr>
        <w:t xml:space="preserve"> &amp; Hidayat</w:t>
      </w:r>
      <w:proofErr w:type="gramStart"/>
      <w:r w:rsidRPr="00B5003E">
        <w:rPr>
          <w:rFonts w:eastAsia="Arial Unicode MS"/>
          <w:bCs/>
          <w:sz w:val="24"/>
          <w:szCs w:val="24"/>
        </w:rPr>
        <w:t>,2017</w:t>
      </w:r>
      <w:proofErr w:type="gramEnd"/>
      <w:r w:rsidRPr="00B5003E">
        <w:rPr>
          <w:rFonts w:eastAsia="Arial Unicode MS"/>
          <w:bCs/>
          <w:sz w:val="24"/>
          <w:szCs w:val="24"/>
        </w:rPr>
        <w:t>). Meanwhile, according to research (</w:t>
      </w:r>
      <w:proofErr w:type="spellStart"/>
      <w:r w:rsidRPr="00B5003E">
        <w:rPr>
          <w:rFonts w:eastAsia="Arial Unicode MS"/>
          <w:bCs/>
          <w:sz w:val="24"/>
          <w:szCs w:val="24"/>
        </w:rPr>
        <w:t>Wahyuni</w:t>
      </w:r>
      <w:proofErr w:type="spellEnd"/>
      <w:r w:rsidRPr="00B5003E">
        <w:rPr>
          <w:rFonts w:eastAsia="Arial Unicode MS"/>
          <w:bCs/>
          <w:sz w:val="24"/>
          <w:szCs w:val="24"/>
        </w:rPr>
        <w:t>, 2017) concludes that partially</w:t>
      </w:r>
    </w:p>
    <w:p w:rsidR="00CE7B8C" w:rsidRDefault="00000088" w:rsidP="00CE7B8C">
      <w:pPr>
        <w:ind w:firstLine="600"/>
        <w:jc w:val="both"/>
        <w:rPr>
          <w:sz w:val="24"/>
          <w:szCs w:val="24"/>
        </w:rPr>
      </w:pPr>
      <w:r w:rsidRPr="00B5003E">
        <w:rPr>
          <w:rFonts w:eastAsia="Arial Unicode MS"/>
          <w:bCs/>
          <w:i/>
          <w:iCs/>
          <w:sz w:val="24"/>
          <w:szCs w:val="24"/>
        </w:rPr>
        <w:t xml:space="preserve">Current Ratio, Debt to Equity Ratio, </w:t>
      </w:r>
      <w:r w:rsidRPr="00B5003E">
        <w:rPr>
          <w:rFonts w:eastAsia="Arial Unicode MS"/>
          <w:bCs/>
          <w:sz w:val="24"/>
          <w:szCs w:val="24"/>
        </w:rPr>
        <w:t>except</w:t>
      </w:r>
      <w:r w:rsidRPr="00B5003E">
        <w:rPr>
          <w:rFonts w:eastAsia="Arial Unicode MS"/>
          <w:bCs/>
          <w:i/>
          <w:iCs/>
          <w:sz w:val="24"/>
          <w:szCs w:val="24"/>
        </w:rPr>
        <w:t xml:space="preserve"> Total Asset Turnover. </w:t>
      </w:r>
      <w:r w:rsidRPr="00B5003E">
        <w:rPr>
          <w:rFonts w:eastAsia="Arial Unicode MS"/>
          <w:bCs/>
          <w:sz w:val="24"/>
          <w:szCs w:val="24"/>
        </w:rPr>
        <w:t>Simultaneously</w:t>
      </w:r>
      <w:r w:rsidRPr="00B5003E">
        <w:rPr>
          <w:rFonts w:eastAsia="Arial Unicode MS"/>
          <w:bCs/>
          <w:i/>
          <w:iCs/>
          <w:sz w:val="24"/>
          <w:szCs w:val="24"/>
        </w:rPr>
        <w:t xml:space="preserve"> Current Ratio, </w:t>
      </w:r>
      <w:proofErr w:type="spellStart"/>
      <w:r w:rsidRPr="00B5003E">
        <w:rPr>
          <w:rFonts w:eastAsia="Arial Unicode MS"/>
          <w:bCs/>
          <w:i/>
          <w:iCs/>
          <w:sz w:val="24"/>
          <w:szCs w:val="24"/>
        </w:rPr>
        <w:t>Debtto</w:t>
      </w:r>
      <w:proofErr w:type="spellEnd"/>
      <w:r w:rsidRPr="00B5003E">
        <w:rPr>
          <w:rFonts w:eastAsia="Arial Unicode MS"/>
          <w:bCs/>
          <w:i/>
          <w:iCs/>
          <w:sz w:val="24"/>
          <w:szCs w:val="24"/>
        </w:rPr>
        <w:t xml:space="preserve"> Equity Ratio, Total Asset Turnover </w:t>
      </w:r>
      <w:r w:rsidRPr="00B5003E">
        <w:rPr>
          <w:rFonts w:eastAsia="Arial Unicode MS"/>
          <w:bCs/>
          <w:sz w:val="24"/>
          <w:szCs w:val="24"/>
        </w:rPr>
        <w:t>and</w:t>
      </w:r>
      <w:r w:rsidRPr="00B5003E">
        <w:rPr>
          <w:rFonts w:eastAsia="Arial Unicode MS"/>
          <w:bCs/>
          <w:i/>
          <w:iCs/>
          <w:sz w:val="24"/>
          <w:szCs w:val="24"/>
        </w:rPr>
        <w:t xml:space="preserve"> Inventory </w:t>
      </w:r>
      <w:r w:rsidRPr="00B5003E">
        <w:rPr>
          <w:rFonts w:eastAsia="Arial Unicode MS"/>
          <w:bCs/>
          <w:sz w:val="24"/>
          <w:szCs w:val="24"/>
        </w:rPr>
        <w:t>significantly influence</w:t>
      </w:r>
      <w:r w:rsidRPr="00B5003E">
        <w:rPr>
          <w:rFonts w:eastAsia="Arial Unicode MS"/>
          <w:bCs/>
          <w:i/>
          <w:iCs/>
          <w:sz w:val="24"/>
          <w:szCs w:val="24"/>
        </w:rPr>
        <w:t xml:space="preserve"> 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w:t>
      </w:r>
    </w:p>
    <w:p w:rsidR="00000088" w:rsidRPr="00B5003E" w:rsidRDefault="00000088" w:rsidP="00EC3D04">
      <w:pPr>
        <w:ind w:firstLine="600"/>
        <w:jc w:val="both"/>
        <w:rPr>
          <w:sz w:val="24"/>
          <w:szCs w:val="24"/>
        </w:rPr>
      </w:pPr>
      <w:r w:rsidRPr="00B5003E">
        <w:rPr>
          <w:rFonts w:eastAsia="Arial Unicode MS"/>
          <w:bCs/>
          <w:i/>
          <w:iCs/>
          <w:sz w:val="24"/>
          <w:szCs w:val="24"/>
        </w:rPr>
        <w:t xml:space="preserve">Current Ratio, 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 Total Asset Turnover </w:t>
      </w:r>
      <w:r w:rsidRPr="00B5003E">
        <w:rPr>
          <w:rFonts w:eastAsia="Arial Unicode MS"/>
          <w:bCs/>
          <w:sz w:val="24"/>
          <w:szCs w:val="24"/>
        </w:rPr>
        <w:t>significant effect on</w:t>
      </w:r>
      <w:r w:rsidR="00CE7B8C">
        <w:rPr>
          <w:rFonts w:eastAsia="Arial Unicode MS"/>
          <w:bCs/>
          <w:sz w:val="24"/>
          <w:szCs w:val="24"/>
        </w:rPr>
        <w:t xml:space="preserve"> </w:t>
      </w:r>
      <w:r w:rsidRPr="00B5003E">
        <w:rPr>
          <w:rFonts w:eastAsia="Arial Unicode MS"/>
          <w:bCs/>
          <w:i/>
          <w:iCs/>
          <w:sz w:val="24"/>
          <w:szCs w:val="24"/>
        </w:rPr>
        <w:t xml:space="preserve">Return on Equity </w:t>
      </w:r>
      <w:r w:rsidRPr="00EC3D04">
        <w:rPr>
          <w:rFonts w:eastAsia="Arial Unicode MS"/>
          <w:bCs/>
          <w:iCs/>
          <w:sz w:val="24"/>
          <w:szCs w:val="24"/>
        </w:rPr>
        <w:t>(</w:t>
      </w:r>
      <w:proofErr w:type="spellStart"/>
      <w:r w:rsidRPr="00B5003E">
        <w:rPr>
          <w:rFonts w:eastAsia="Arial Unicode MS"/>
          <w:bCs/>
          <w:sz w:val="24"/>
          <w:szCs w:val="24"/>
        </w:rPr>
        <w:t>Wahyuni</w:t>
      </w:r>
      <w:proofErr w:type="spellEnd"/>
      <w:r w:rsidRPr="00B5003E">
        <w:rPr>
          <w:rFonts w:eastAsia="Arial Unicode MS"/>
          <w:bCs/>
          <w:sz w:val="24"/>
          <w:szCs w:val="24"/>
        </w:rPr>
        <w:t xml:space="preserve">, 2017). From the explanation above it can be concluded that the </w:t>
      </w:r>
      <w:proofErr w:type="spellStart"/>
      <w:r w:rsidRPr="00B5003E">
        <w:rPr>
          <w:rFonts w:eastAsia="Arial Unicode MS"/>
          <w:bCs/>
          <w:sz w:val="24"/>
          <w:szCs w:val="24"/>
        </w:rPr>
        <w:t>variable</w:t>
      </w:r>
      <w:r w:rsidRPr="00B5003E">
        <w:rPr>
          <w:rFonts w:eastAsia="Arial Unicode MS"/>
          <w:bCs/>
          <w:i/>
          <w:iCs/>
          <w:sz w:val="24"/>
          <w:szCs w:val="24"/>
        </w:rPr>
        <w:t>Current</w:t>
      </w:r>
      <w:proofErr w:type="spellEnd"/>
      <w:r w:rsidRPr="00B5003E">
        <w:rPr>
          <w:rFonts w:eastAsia="Arial Unicode MS"/>
          <w:bCs/>
          <w:i/>
          <w:iCs/>
          <w:sz w:val="24"/>
          <w:szCs w:val="24"/>
        </w:rPr>
        <w:t xml:space="preserve"> Ratio, 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 </w:t>
      </w:r>
      <w:r w:rsidRPr="00B5003E">
        <w:rPr>
          <w:rFonts w:eastAsia="Arial Unicode MS"/>
          <w:bCs/>
          <w:sz w:val="24"/>
          <w:szCs w:val="24"/>
        </w:rPr>
        <w:t>and</w:t>
      </w:r>
      <w:r w:rsidRPr="00B5003E">
        <w:rPr>
          <w:rFonts w:eastAsia="Arial Unicode MS"/>
          <w:bCs/>
          <w:i/>
          <w:iCs/>
          <w:sz w:val="24"/>
          <w:szCs w:val="24"/>
        </w:rPr>
        <w:t xml:space="preserve"> Total Asset Turnover </w:t>
      </w:r>
      <w:r w:rsidRPr="00B5003E">
        <w:rPr>
          <w:rFonts w:eastAsia="Arial Unicode MS"/>
          <w:bCs/>
          <w:sz w:val="24"/>
          <w:szCs w:val="24"/>
        </w:rPr>
        <w:t>has a significant effect on</w:t>
      </w:r>
      <w:r w:rsidRPr="00B5003E">
        <w:rPr>
          <w:rFonts w:eastAsia="Arial Unicode MS"/>
          <w:bCs/>
          <w:i/>
          <w:iCs/>
          <w:sz w:val="24"/>
          <w:szCs w:val="24"/>
        </w:rPr>
        <w:t xml:space="preserve"> Return On Equity.</w:t>
      </w:r>
    </w:p>
    <w:p w:rsidR="00000088" w:rsidRPr="00B5003E" w:rsidRDefault="00000088" w:rsidP="00000088">
      <w:pPr>
        <w:rPr>
          <w:sz w:val="24"/>
          <w:szCs w:val="24"/>
        </w:rPr>
      </w:pPr>
      <w:r w:rsidRPr="00B5003E">
        <w:rPr>
          <w:noProof/>
          <w:sz w:val="24"/>
          <w:szCs w:val="24"/>
        </w:rPr>
        <w:drawing>
          <wp:anchor distT="0" distB="0" distL="114300" distR="114300" simplePos="0" relativeHeight="251680768" behindDoc="1" locked="0" layoutInCell="0" allowOverlap="1">
            <wp:simplePos x="0" y="0"/>
            <wp:positionH relativeFrom="column">
              <wp:posOffset>-49530</wp:posOffset>
            </wp:positionH>
            <wp:positionV relativeFrom="paragraph">
              <wp:posOffset>410210</wp:posOffset>
            </wp:positionV>
            <wp:extent cx="5779135" cy="2477770"/>
            <wp:effectExtent l="0" t="0" r="0" b="0"/>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blip>
                    <a:srcRect/>
                    <a:stretch>
                      <a:fillRect/>
                    </a:stretch>
                  </pic:blipFill>
                  <pic:spPr bwMode="auto">
                    <a:xfrm>
                      <a:off x="0" y="0"/>
                      <a:ext cx="5779135" cy="2477770"/>
                    </a:xfrm>
                    <a:prstGeom prst="rect">
                      <a:avLst/>
                    </a:prstGeom>
                    <a:noFill/>
                  </pic:spPr>
                </pic:pic>
              </a:graphicData>
            </a:graphic>
          </wp:anchor>
        </w:drawing>
      </w:r>
    </w:p>
    <w:p w:rsidR="00CE7B8C" w:rsidRDefault="00CE7B8C" w:rsidP="00000088">
      <w:pPr>
        <w:ind w:left="2340"/>
        <w:rPr>
          <w:rFonts w:eastAsia="Arial Unicode MS"/>
          <w:bCs/>
          <w:sz w:val="24"/>
          <w:szCs w:val="24"/>
        </w:rPr>
      </w:pPr>
    </w:p>
    <w:p w:rsidR="00CE7B8C" w:rsidRDefault="00CE7B8C" w:rsidP="00000088">
      <w:pPr>
        <w:ind w:left="2340"/>
        <w:rPr>
          <w:rFonts w:eastAsia="Arial Unicode MS"/>
          <w:bCs/>
          <w:sz w:val="24"/>
          <w:szCs w:val="24"/>
        </w:rPr>
      </w:pPr>
    </w:p>
    <w:p w:rsidR="00000088" w:rsidRPr="00B5003E" w:rsidRDefault="00000088" w:rsidP="00000088">
      <w:pPr>
        <w:ind w:left="2340"/>
        <w:rPr>
          <w:sz w:val="24"/>
          <w:szCs w:val="24"/>
        </w:rPr>
      </w:pPr>
      <w:r w:rsidRPr="00B5003E">
        <w:rPr>
          <w:rFonts w:eastAsia="Arial Unicode MS"/>
          <w:bCs/>
          <w:sz w:val="24"/>
          <w:szCs w:val="24"/>
        </w:rPr>
        <w:t>CR (X1)</w:t>
      </w: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CE7B8C">
      <w:pPr>
        <w:ind w:left="1440" w:firstLine="720"/>
        <w:rPr>
          <w:sz w:val="24"/>
          <w:szCs w:val="24"/>
        </w:rPr>
      </w:pPr>
      <w:r w:rsidRPr="00B5003E">
        <w:rPr>
          <w:rFonts w:eastAsia="Arial Unicode MS"/>
          <w:bCs/>
          <w:sz w:val="24"/>
          <w:szCs w:val="24"/>
        </w:rPr>
        <w:t>DER (X2)</w:t>
      </w:r>
    </w:p>
    <w:p w:rsidR="00000088" w:rsidRPr="00B5003E" w:rsidRDefault="00000088" w:rsidP="00000088">
      <w:pPr>
        <w:ind w:left="7380"/>
        <w:rPr>
          <w:sz w:val="24"/>
          <w:szCs w:val="24"/>
        </w:rPr>
      </w:pPr>
      <w:r w:rsidRPr="00B5003E">
        <w:rPr>
          <w:rFonts w:eastAsia="Arial Unicode MS"/>
          <w:bCs/>
          <w:sz w:val="24"/>
          <w:szCs w:val="24"/>
        </w:rPr>
        <w:t>ROE (Y)</w:t>
      </w:r>
    </w:p>
    <w:p w:rsidR="00000088" w:rsidRPr="00B5003E" w:rsidRDefault="00000088" w:rsidP="00000088">
      <w:pPr>
        <w:rPr>
          <w:sz w:val="24"/>
          <w:szCs w:val="24"/>
        </w:rPr>
      </w:pPr>
    </w:p>
    <w:p w:rsidR="00000088" w:rsidRPr="00B5003E" w:rsidRDefault="00000088" w:rsidP="00000088">
      <w:pPr>
        <w:rPr>
          <w:sz w:val="24"/>
          <w:szCs w:val="24"/>
        </w:rPr>
      </w:pPr>
    </w:p>
    <w:p w:rsidR="00591AC0" w:rsidRDefault="00591AC0" w:rsidP="00591AC0">
      <w:pPr>
        <w:rPr>
          <w:sz w:val="24"/>
          <w:szCs w:val="24"/>
        </w:rPr>
      </w:pPr>
    </w:p>
    <w:p w:rsidR="00000088" w:rsidRPr="00B5003E" w:rsidRDefault="00000088" w:rsidP="00591AC0">
      <w:pPr>
        <w:ind w:left="1440" w:firstLine="720"/>
        <w:rPr>
          <w:sz w:val="24"/>
          <w:szCs w:val="24"/>
        </w:rPr>
      </w:pPr>
      <w:r w:rsidRPr="00B5003E">
        <w:rPr>
          <w:rFonts w:eastAsia="Arial Unicode MS"/>
          <w:bCs/>
          <w:sz w:val="24"/>
          <w:szCs w:val="24"/>
        </w:rPr>
        <w:t>TATTOOS (X3)</w:t>
      </w:r>
    </w:p>
    <w:p w:rsidR="00000088" w:rsidRPr="00B5003E" w:rsidRDefault="00000088" w:rsidP="00000088">
      <w:pPr>
        <w:rPr>
          <w:sz w:val="24"/>
          <w:szCs w:val="24"/>
        </w:rPr>
      </w:pPr>
    </w:p>
    <w:p w:rsidR="00000088" w:rsidRPr="00B5003E" w:rsidRDefault="00000088" w:rsidP="00000088">
      <w:pPr>
        <w:rPr>
          <w:sz w:val="24"/>
          <w:szCs w:val="24"/>
        </w:rPr>
      </w:pPr>
    </w:p>
    <w:p w:rsidR="00EC3D04" w:rsidRDefault="00EC3D04" w:rsidP="00000088">
      <w:pPr>
        <w:ind w:left="2160"/>
        <w:rPr>
          <w:rFonts w:eastAsia="Arial Unicode MS"/>
          <w:b/>
          <w:bCs/>
          <w:sz w:val="24"/>
          <w:szCs w:val="24"/>
        </w:rPr>
      </w:pPr>
    </w:p>
    <w:p w:rsidR="00000088" w:rsidRPr="00B5003E" w:rsidRDefault="00000088" w:rsidP="00000088">
      <w:pPr>
        <w:ind w:left="2160"/>
        <w:rPr>
          <w:b/>
          <w:sz w:val="24"/>
          <w:szCs w:val="24"/>
        </w:rPr>
      </w:pPr>
      <w:proofErr w:type="gramStart"/>
      <w:r w:rsidRPr="00B5003E">
        <w:rPr>
          <w:rFonts w:eastAsia="Arial Unicode MS"/>
          <w:b/>
          <w:bCs/>
          <w:sz w:val="24"/>
          <w:szCs w:val="24"/>
        </w:rPr>
        <w:t>Figure 1.</w:t>
      </w:r>
      <w:proofErr w:type="gramEnd"/>
      <w:r w:rsidRPr="00B5003E">
        <w:rPr>
          <w:rFonts w:eastAsia="Arial Unicode MS"/>
          <w:b/>
          <w:bCs/>
          <w:sz w:val="24"/>
          <w:szCs w:val="24"/>
        </w:rPr>
        <w:t xml:space="preserve"> Research Paradigm</w:t>
      </w:r>
    </w:p>
    <w:p w:rsidR="00591AC0" w:rsidRDefault="00000088" w:rsidP="00591AC0">
      <w:pPr>
        <w:rPr>
          <w:b/>
          <w:sz w:val="24"/>
          <w:szCs w:val="24"/>
        </w:rPr>
      </w:pPr>
      <w:r w:rsidRPr="00B5003E">
        <w:rPr>
          <w:rFonts w:eastAsia="Arial Unicode MS"/>
          <w:b/>
          <w:bCs/>
          <w:sz w:val="24"/>
          <w:szCs w:val="24"/>
        </w:rPr>
        <w:lastRenderedPageBreak/>
        <w:t>RESEARCH METHODS</w:t>
      </w:r>
    </w:p>
    <w:p w:rsidR="00591AC0" w:rsidRDefault="00000088" w:rsidP="00591AC0">
      <w:pPr>
        <w:ind w:firstLine="720"/>
        <w:jc w:val="both"/>
        <w:rPr>
          <w:b/>
          <w:sz w:val="24"/>
          <w:szCs w:val="24"/>
        </w:rPr>
      </w:pPr>
      <w:r w:rsidRPr="00B5003E">
        <w:rPr>
          <w:rFonts w:eastAsia="Arial Unicode MS"/>
          <w:bCs/>
          <w:sz w:val="24"/>
          <w:szCs w:val="24"/>
        </w:rPr>
        <w:t xml:space="preserve">The research approach used in this research is an associative approach. The type of data used is quantitative, namely in the form of numbers (Secondary Data) by using a ratio scale based on a formula that is used as the basis for measurement and using a statistical analysis tool in the form of Path Analysis. The </w:t>
      </w:r>
      <w:proofErr w:type="gramStart"/>
      <w:r w:rsidRPr="00B5003E">
        <w:rPr>
          <w:rFonts w:eastAsia="Arial Unicode MS"/>
          <w:bCs/>
          <w:sz w:val="24"/>
          <w:szCs w:val="24"/>
        </w:rPr>
        <w:t>population in this study were</w:t>
      </w:r>
      <w:proofErr w:type="gramEnd"/>
      <w:r w:rsidRPr="00B5003E">
        <w:rPr>
          <w:rFonts w:eastAsia="Arial Unicode MS"/>
          <w:bCs/>
          <w:sz w:val="24"/>
          <w:szCs w:val="24"/>
        </w:rPr>
        <w:t xml:space="preserve"> all companies in the transportation sector listed on the Indonesia Stock Exchange as many as 46 companies. The sample selection procedure is carried out by technique </w:t>
      </w:r>
      <w:r w:rsidRPr="00B5003E">
        <w:rPr>
          <w:rFonts w:eastAsia="Arial Unicode MS"/>
          <w:bCs/>
          <w:i/>
          <w:iCs/>
          <w:sz w:val="24"/>
          <w:szCs w:val="24"/>
        </w:rPr>
        <w:t>purposive sampling</w:t>
      </w:r>
      <w:bookmarkStart w:id="6" w:name="page9"/>
      <w:bookmarkEnd w:id="6"/>
      <w:r w:rsidR="00591AC0">
        <w:rPr>
          <w:rFonts w:eastAsia="Arial Unicode MS"/>
          <w:bCs/>
          <w:i/>
          <w:iCs/>
          <w:sz w:val="24"/>
          <w:szCs w:val="24"/>
        </w:rPr>
        <w:t>.</w:t>
      </w:r>
    </w:p>
    <w:p w:rsidR="00000088" w:rsidRPr="00591AC0" w:rsidRDefault="00000088" w:rsidP="00591AC0">
      <w:pPr>
        <w:ind w:firstLine="720"/>
        <w:jc w:val="both"/>
        <w:rPr>
          <w:b/>
          <w:sz w:val="24"/>
          <w:szCs w:val="24"/>
        </w:rPr>
      </w:pPr>
      <w:r w:rsidRPr="00B5003E">
        <w:rPr>
          <w:rFonts w:eastAsia="Arial Unicode MS"/>
          <w:bCs/>
          <w:sz w:val="24"/>
          <w:szCs w:val="24"/>
        </w:rPr>
        <w:t xml:space="preserve">The samples in this study were 7 companies. Secondary data from this study were obtained from the publication of corporate financial reports listed on the Indonesia Stock Exchange. Data processing using SPSS software version 20, the statistical analysis of the instruments in this research includes: </w:t>
      </w:r>
      <w:proofErr w:type="spellStart"/>
      <w:r w:rsidRPr="00B5003E">
        <w:rPr>
          <w:rFonts w:eastAsia="Arial Unicode MS"/>
          <w:bCs/>
          <w:sz w:val="24"/>
          <w:szCs w:val="24"/>
        </w:rPr>
        <w:t>calcic</w:t>
      </w:r>
      <w:proofErr w:type="spellEnd"/>
      <w:r w:rsidRPr="00B5003E">
        <w:rPr>
          <w:rFonts w:eastAsia="Arial Unicode MS"/>
          <w:bCs/>
          <w:sz w:val="24"/>
          <w:szCs w:val="24"/>
        </w:rPr>
        <w:t xml:space="preserve"> assumption test, normality test, </w:t>
      </w:r>
      <w:proofErr w:type="spellStart"/>
      <w:r w:rsidRPr="00B5003E">
        <w:rPr>
          <w:rFonts w:eastAsia="Arial Unicode MS"/>
          <w:bCs/>
          <w:sz w:val="24"/>
          <w:szCs w:val="24"/>
        </w:rPr>
        <w:t>multicolinearity</w:t>
      </w:r>
      <w:proofErr w:type="spellEnd"/>
      <w:r w:rsidRPr="00B5003E">
        <w:rPr>
          <w:rFonts w:eastAsia="Arial Unicode MS"/>
          <w:bCs/>
          <w:sz w:val="24"/>
          <w:szCs w:val="24"/>
        </w:rPr>
        <w:t xml:space="preserve"> test, </w:t>
      </w:r>
      <w:proofErr w:type="spellStart"/>
      <w:r w:rsidRPr="00B5003E">
        <w:rPr>
          <w:rFonts w:eastAsia="Arial Unicode MS"/>
          <w:bCs/>
          <w:sz w:val="24"/>
          <w:szCs w:val="24"/>
        </w:rPr>
        <w:t>hetercodesticity</w:t>
      </w:r>
      <w:proofErr w:type="spellEnd"/>
      <w:r w:rsidRPr="00B5003E">
        <w:rPr>
          <w:rFonts w:eastAsia="Arial Unicode MS"/>
          <w:bCs/>
          <w:sz w:val="24"/>
          <w:szCs w:val="24"/>
        </w:rPr>
        <w:t xml:space="preserve"> test, and autocorrelation test.</w:t>
      </w:r>
    </w:p>
    <w:p w:rsidR="00591AC0" w:rsidRDefault="00591AC0" w:rsidP="00000088">
      <w:pPr>
        <w:rPr>
          <w:rFonts w:eastAsia="Arial Unicode MS"/>
          <w:b/>
          <w:bCs/>
          <w:sz w:val="24"/>
          <w:szCs w:val="24"/>
        </w:rPr>
      </w:pPr>
    </w:p>
    <w:p w:rsidR="000604C5" w:rsidRDefault="000604C5" w:rsidP="00000088">
      <w:pPr>
        <w:rPr>
          <w:rFonts w:eastAsia="Arial Unicode MS"/>
          <w:b/>
          <w:bCs/>
          <w:sz w:val="24"/>
          <w:szCs w:val="24"/>
        </w:rPr>
      </w:pPr>
    </w:p>
    <w:p w:rsidR="00000088" w:rsidRPr="00591AC0" w:rsidRDefault="00000088" w:rsidP="00000088">
      <w:pPr>
        <w:rPr>
          <w:sz w:val="24"/>
          <w:szCs w:val="24"/>
        </w:rPr>
      </w:pPr>
      <w:r w:rsidRPr="00B5003E">
        <w:rPr>
          <w:rFonts w:eastAsia="Arial Unicode MS"/>
          <w:b/>
          <w:bCs/>
          <w:sz w:val="24"/>
          <w:szCs w:val="24"/>
        </w:rPr>
        <w:t>RESEARCH RESULT</w:t>
      </w:r>
    </w:p>
    <w:p w:rsidR="00000088" w:rsidRPr="00B5003E" w:rsidRDefault="00000088" w:rsidP="00000088">
      <w:pPr>
        <w:rPr>
          <w:sz w:val="24"/>
          <w:szCs w:val="24"/>
        </w:rPr>
      </w:pPr>
    </w:p>
    <w:p w:rsidR="00000088" w:rsidRPr="00B5003E" w:rsidRDefault="00000088" w:rsidP="00000088">
      <w:pPr>
        <w:ind w:right="300" w:firstLine="566"/>
        <w:rPr>
          <w:sz w:val="24"/>
          <w:szCs w:val="24"/>
        </w:rPr>
      </w:pPr>
      <w:r w:rsidRPr="00B5003E">
        <w:rPr>
          <w:rFonts w:eastAsia="Arial Unicode MS"/>
          <w:bCs/>
          <w:sz w:val="24"/>
          <w:szCs w:val="24"/>
        </w:rPr>
        <w:t xml:space="preserve">The normality test is used to test whether the regression model between the independent variable and the dependent variable has a normal distribution, this can be seen by testing the P-plot graph, the VIF value and </w:t>
      </w:r>
      <w:proofErr w:type="spellStart"/>
      <w:r w:rsidRPr="00B5003E">
        <w:rPr>
          <w:rFonts w:eastAsia="Arial Unicode MS"/>
          <w:bCs/>
          <w:i/>
          <w:iCs/>
          <w:sz w:val="24"/>
          <w:szCs w:val="24"/>
        </w:rPr>
        <w:t>scatterplot</w:t>
      </w:r>
      <w:proofErr w:type="spellEnd"/>
    </w:p>
    <w:p w:rsidR="00591AC0" w:rsidRDefault="000604C5" w:rsidP="00000088">
      <w:pPr>
        <w:rPr>
          <w:sz w:val="24"/>
          <w:szCs w:val="24"/>
        </w:rPr>
      </w:pPr>
      <w:r>
        <w:rPr>
          <w:noProof/>
          <w:sz w:val="24"/>
          <w:szCs w:val="24"/>
        </w:rPr>
        <w:drawing>
          <wp:anchor distT="0" distB="0" distL="114300" distR="114300" simplePos="0" relativeHeight="251681792" behindDoc="1" locked="0" layoutInCell="0" allowOverlap="1">
            <wp:simplePos x="0" y="0"/>
            <wp:positionH relativeFrom="column">
              <wp:posOffset>718765</wp:posOffset>
            </wp:positionH>
            <wp:positionV relativeFrom="paragraph">
              <wp:posOffset>90446</wp:posOffset>
            </wp:positionV>
            <wp:extent cx="4246245" cy="2743200"/>
            <wp:effectExtent l="19050" t="0" r="1905" b="0"/>
            <wp:wrapNone/>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blip>
                    <a:srcRect/>
                    <a:stretch>
                      <a:fillRect/>
                    </a:stretch>
                  </pic:blipFill>
                  <pic:spPr bwMode="auto">
                    <a:xfrm>
                      <a:off x="0" y="0"/>
                      <a:ext cx="4245610" cy="2742790"/>
                    </a:xfrm>
                    <a:prstGeom prst="rect">
                      <a:avLst/>
                    </a:prstGeom>
                    <a:noFill/>
                  </pic:spPr>
                </pic:pic>
              </a:graphicData>
            </a:graphic>
          </wp:anchor>
        </w:drawing>
      </w: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00088" w:rsidRPr="00B5003E" w:rsidRDefault="00000088" w:rsidP="00000088">
      <w:pPr>
        <w:rPr>
          <w:sz w:val="24"/>
          <w:szCs w:val="24"/>
        </w:rPr>
      </w:pPr>
    </w:p>
    <w:p w:rsidR="000604C5" w:rsidRDefault="000604C5" w:rsidP="00591AC0">
      <w:pPr>
        <w:jc w:val="center"/>
        <w:rPr>
          <w:rFonts w:eastAsia="Arial Unicode MS"/>
          <w:bCs/>
          <w:sz w:val="24"/>
          <w:szCs w:val="24"/>
        </w:rPr>
      </w:pPr>
    </w:p>
    <w:p w:rsidR="00000088" w:rsidRPr="00B5003E" w:rsidRDefault="00000088" w:rsidP="00591AC0">
      <w:pPr>
        <w:jc w:val="center"/>
        <w:rPr>
          <w:sz w:val="24"/>
          <w:szCs w:val="24"/>
        </w:rPr>
      </w:pPr>
      <w:proofErr w:type="gramStart"/>
      <w:r w:rsidRPr="00B5003E">
        <w:rPr>
          <w:rFonts w:eastAsia="Arial Unicode MS"/>
          <w:bCs/>
          <w:sz w:val="24"/>
          <w:szCs w:val="24"/>
        </w:rPr>
        <w:t>F</w:t>
      </w:r>
      <w:r w:rsidR="00591AC0">
        <w:rPr>
          <w:rFonts w:eastAsia="Arial Unicode MS"/>
          <w:bCs/>
          <w:sz w:val="24"/>
          <w:szCs w:val="24"/>
        </w:rPr>
        <w:t>igure 2</w:t>
      </w:r>
      <w:r w:rsidRPr="00B5003E">
        <w:rPr>
          <w:rFonts w:eastAsia="Arial Unicode MS"/>
          <w:bCs/>
          <w:sz w:val="24"/>
          <w:szCs w:val="24"/>
        </w:rPr>
        <w:t>.</w:t>
      </w:r>
      <w:proofErr w:type="gramEnd"/>
      <w:r w:rsidRPr="00B5003E">
        <w:rPr>
          <w:rFonts w:eastAsia="Arial Unicode MS"/>
          <w:bCs/>
          <w:sz w:val="24"/>
          <w:szCs w:val="24"/>
        </w:rPr>
        <w:t xml:space="preserve"> Data Normality P-Plot Results</w:t>
      </w:r>
    </w:p>
    <w:p w:rsidR="00591AC0" w:rsidRDefault="00591AC0" w:rsidP="00591AC0">
      <w:pPr>
        <w:ind w:right="60"/>
        <w:rPr>
          <w:sz w:val="24"/>
          <w:szCs w:val="24"/>
        </w:rPr>
      </w:pPr>
    </w:p>
    <w:p w:rsidR="00591AC0" w:rsidRDefault="00591AC0" w:rsidP="00591AC0">
      <w:pPr>
        <w:ind w:right="60" w:firstLine="720"/>
        <w:jc w:val="both"/>
        <w:rPr>
          <w:rFonts w:eastAsia="Arial Unicode MS"/>
          <w:bCs/>
          <w:sz w:val="24"/>
          <w:szCs w:val="24"/>
        </w:rPr>
      </w:pPr>
    </w:p>
    <w:p w:rsidR="00000088" w:rsidRPr="00B5003E" w:rsidRDefault="00000088" w:rsidP="00591AC0">
      <w:pPr>
        <w:ind w:right="60" w:firstLine="720"/>
        <w:jc w:val="both"/>
        <w:rPr>
          <w:sz w:val="24"/>
          <w:szCs w:val="24"/>
        </w:rPr>
      </w:pPr>
      <w:r w:rsidRPr="00B5003E">
        <w:rPr>
          <w:rFonts w:eastAsia="Arial Unicode MS"/>
          <w:bCs/>
          <w:sz w:val="24"/>
          <w:szCs w:val="24"/>
        </w:rPr>
        <w:t>Based on the picture above, it can be seen that the results of the data normality test show that the distribution of data points tends to approach the diagonal line or the histogram graph.</w:t>
      </w:r>
      <w:r w:rsidR="00591AC0">
        <w:rPr>
          <w:rFonts w:eastAsia="Arial Unicode MS"/>
          <w:bCs/>
          <w:sz w:val="24"/>
          <w:szCs w:val="24"/>
        </w:rPr>
        <w:t xml:space="preserve"> S</w:t>
      </w:r>
      <w:r w:rsidRPr="00B5003E">
        <w:rPr>
          <w:rFonts w:eastAsia="Arial Unicode MS"/>
          <w:bCs/>
          <w:sz w:val="24"/>
          <w:szCs w:val="24"/>
        </w:rPr>
        <w:t>hows a normal distribution pattern, then the regression model fulfills the normality assumption. This means that the regression method is normally distributed and worthy of analysis</w:t>
      </w:r>
    </w:p>
    <w:p w:rsidR="00000088" w:rsidRPr="00B5003E" w:rsidRDefault="00000088" w:rsidP="00591AC0">
      <w:pPr>
        <w:jc w:val="both"/>
        <w:rPr>
          <w:sz w:val="24"/>
          <w:szCs w:val="24"/>
        </w:rPr>
      </w:pPr>
    </w:p>
    <w:p w:rsidR="00591AC0" w:rsidRDefault="00591AC0" w:rsidP="00000088">
      <w:pPr>
        <w:ind w:left="3180"/>
        <w:rPr>
          <w:rFonts w:eastAsia="Arial Unicode MS"/>
          <w:bCs/>
          <w:sz w:val="24"/>
          <w:szCs w:val="24"/>
        </w:rPr>
      </w:pPr>
    </w:p>
    <w:p w:rsidR="00EC3D04" w:rsidRDefault="00EC3D04" w:rsidP="00000088">
      <w:pPr>
        <w:ind w:left="3180"/>
        <w:rPr>
          <w:rFonts w:eastAsia="Arial Unicode MS"/>
          <w:bCs/>
          <w:sz w:val="24"/>
          <w:szCs w:val="24"/>
        </w:rPr>
      </w:pPr>
    </w:p>
    <w:p w:rsidR="00000088" w:rsidRPr="00B5003E" w:rsidRDefault="00000088" w:rsidP="00000088">
      <w:pPr>
        <w:ind w:left="3180"/>
        <w:rPr>
          <w:sz w:val="24"/>
          <w:szCs w:val="24"/>
        </w:rPr>
      </w:pPr>
      <w:proofErr w:type="gramStart"/>
      <w:r w:rsidRPr="00B5003E">
        <w:rPr>
          <w:rFonts w:eastAsia="Arial Unicode MS"/>
          <w:bCs/>
          <w:sz w:val="24"/>
          <w:szCs w:val="24"/>
        </w:rPr>
        <w:lastRenderedPageBreak/>
        <w:t>Table 1.</w:t>
      </w:r>
      <w:proofErr w:type="gramEnd"/>
      <w:r w:rsidRPr="00B5003E">
        <w:rPr>
          <w:rFonts w:eastAsia="Arial Unicode MS"/>
          <w:bCs/>
          <w:sz w:val="24"/>
          <w:szCs w:val="24"/>
        </w:rPr>
        <w:t xml:space="preserve"> </w:t>
      </w:r>
      <w:proofErr w:type="spellStart"/>
      <w:r w:rsidRPr="00B5003E">
        <w:rPr>
          <w:rFonts w:eastAsia="Arial Unicode MS"/>
          <w:bCs/>
          <w:sz w:val="24"/>
          <w:szCs w:val="24"/>
        </w:rPr>
        <w:t>Multicolinearity</w:t>
      </w:r>
      <w:proofErr w:type="spellEnd"/>
      <w:r w:rsidRPr="00B5003E">
        <w:rPr>
          <w:rFonts w:eastAsia="Arial Unicode MS"/>
          <w:bCs/>
          <w:sz w:val="24"/>
          <w:szCs w:val="24"/>
        </w:rPr>
        <w:t xml:space="preserve"> Test</w:t>
      </w:r>
    </w:p>
    <w:tbl>
      <w:tblPr>
        <w:tblpPr w:leftFromText="180" w:rightFromText="180" w:bottomFromText="160" w:vertAnchor="text" w:horzAnchor="page" w:tblpX="3644" w:tblpY="67"/>
        <w:tblW w:w="4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468"/>
        <w:gridCol w:w="789"/>
        <w:gridCol w:w="1842"/>
        <w:gridCol w:w="1701"/>
      </w:tblGrid>
      <w:tr w:rsidR="00591AC0" w:rsidRPr="00793600" w:rsidTr="00543A75">
        <w:trPr>
          <w:cantSplit/>
          <w:trHeight w:val="301"/>
          <w:tblHeader/>
        </w:trPr>
        <w:tc>
          <w:tcPr>
            <w:tcW w:w="1257"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rPr>
                <w:sz w:val="24"/>
                <w:szCs w:val="24"/>
              </w:rPr>
            </w:pPr>
            <w:r w:rsidRPr="00793600">
              <w:rPr>
                <w:sz w:val="24"/>
                <w:szCs w:val="24"/>
              </w:rPr>
              <w:t>Model</w:t>
            </w:r>
          </w:p>
        </w:tc>
        <w:tc>
          <w:tcPr>
            <w:tcW w:w="3543" w:type="dxa"/>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proofErr w:type="spellStart"/>
            <w:r w:rsidRPr="00793600">
              <w:rPr>
                <w:sz w:val="24"/>
                <w:szCs w:val="24"/>
              </w:rPr>
              <w:t>Collinearity</w:t>
            </w:r>
            <w:proofErr w:type="spellEnd"/>
            <w:r w:rsidRPr="00793600">
              <w:rPr>
                <w:sz w:val="24"/>
                <w:szCs w:val="24"/>
              </w:rPr>
              <w:t xml:space="preserve"> Statistics</w:t>
            </w:r>
          </w:p>
        </w:tc>
      </w:tr>
      <w:tr w:rsidR="00591AC0" w:rsidRPr="00793600" w:rsidTr="00543A75">
        <w:trPr>
          <w:cantSplit/>
          <w:trHeight w:val="301"/>
          <w:tblHeader/>
        </w:trPr>
        <w:tc>
          <w:tcPr>
            <w:tcW w:w="1257"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591AC0" w:rsidRPr="00793600" w:rsidRDefault="00591AC0" w:rsidP="00543A75">
            <w:pPr>
              <w:spacing w:line="256" w:lineRule="auto"/>
              <w:rPr>
                <w:rFonts w:eastAsia="Times New Roman"/>
                <w:sz w:val="24"/>
                <w:szCs w:val="24"/>
              </w:rPr>
            </w:pPr>
          </w:p>
        </w:tc>
        <w:tc>
          <w:tcPr>
            <w:tcW w:w="1842"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r w:rsidRPr="00793600">
              <w:rPr>
                <w:sz w:val="24"/>
                <w:szCs w:val="24"/>
              </w:rPr>
              <w:t>Tolerance</w:t>
            </w:r>
          </w:p>
        </w:tc>
        <w:tc>
          <w:tcPr>
            <w:tcW w:w="1701"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r w:rsidRPr="00793600">
              <w:rPr>
                <w:sz w:val="24"/>
                <w:szCs w:val="24"/>
              </w:rPr>
              <w:t>VIF</w:t>
            </w:r>
          </w:p>
        </w:tc>
      </w:tr>
      <w:tr w:rsidR="00591AC0" w:rsidRPr="00793600" w:rsidTr="00543A75">
        <w:trPr>
          <w:cantSplit/>
          <w:trHeight w:val="645"/>
          <w:tblHeader/>
        </w:trPr>
        <w:tc>
          <w:tcPr>
            <w:tcW w:w="46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1</w:t>
            </w:r>
          </w:p>
        </w:tc>
        <w:tc>
          <w:tcPr>
            <w:tcW w:w="78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(Constant)</w:t>
            </w:r>
          </w:p>
        </w:tc>
        <w:tc>
          <w:tcPr>
            <w:tcW w:w="184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591AC0" w:rsidRPr="00793600" w:rsidRDefault="00591AC0" w:rsidP="00543A75">
            <w:pPr>
              <w:spacing w:line="256" w:lineRule="auto"/>
              <w:rPr>
                <w:sz w:val="24"/>
                <w:szCs w:val="24"/>
              </w:rPr>
            </w:pPr>
          </w:p>
        </w:tc>
        <w:tc>
          <w:tcPr>
            <w:tcW w:w="170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Pr>
          <w:p w:rsidR="00591AC0" w:rsidRPr="00793600" w:rsidRDefault="00591AC0" w:rsidP="00543A75">
            <w:pPr>
              <w:spacing w:line="256" w:lineRule="auto"/>
              <w:rPr>
                <w:sz w:val="24"/>
                <w:szCs w:val="24"/>
              </w:rPr>
            </w:pPr>
          </w:p>
        </w:tc>
      </w:tr>
      <w:tr w:rsidR="00591AC0" w:rsidRPr="00793600" w:rsidTr="00543A75">
        <w:trPr>
          <w:cantSplit/>
          <w:trHeight w:val="342"/>
          <w:tblHeader/>
        </w:trPr>
        <w:tc>
          <w:tcPr>
            <w:tcW w:w="468" w:type="dxa"/>
            <w:vMerge/>
            <w:tcBorders>
              <w:top w:val="single" w:sz="18" w:space="0" w:color="000000"/>
              <w:left w:val="single" w:sz="18" w:space="0" w:color="000000"/>
              <w:bottom w:val="single" w:sz="18" w:space="0" w:color="000000"/>
              <w:right w:val="nil"/>
            </w:tcBorders>
            <w:vAlign w:val="center"/>
            <w:hideMark/>
          </w:tcPr>
          <w:p w:rsidR="00591AC0" w:rsidRPr="00793600" w:rsidRDefault="00591AC0" w:rsidP="00543A75">
            <w:pPr>
              <w:spacing w:line="256" w:lineRule="auto"/>
              <w:rPr>
                <w:rFonts w:eastAsia="Times New Roman"/>
                <w:sz w:val="24"/>
                <w:szCs w:val="24"/>
              </w:rPr>
            </w:pPr>
          </w:p>
        </w:tc>
        <w:tc>
          <w:tcPr>
            <w:tcW w:w="78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CR</w:t>
            </w:r>
          </w:p>
        </w:tc>
        <w:tc>
          <w:tcPr>
            <w:tcW w:w="184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.595</w:t>
            </w:r>
          </w:p>
        </w:tc>
        <w:tc>
          <w:tcPr>
            <w:tcW w:w="170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1.679</w:t>
            </w:r>
          </w:p>
        </w:tc>
      </w:tr>
      <w:tr w:rsidR="00591AC0" w:rsidRPr="00793600" w:rsidTr="00543A75">
        <w:trPr>
          <w:cantSplit/>
          <w:trHeight w:val="351"/>
          <w:tblHeader/>
        </w:trPr>
        <w:tc>
          <w:tcPr>
            <w:tcW w:w="468" w:type="dxa"/>
            <w:vMerge/>
            <w:tcBorders>
              <w:top w:val="single" w:sz="18" w:space="0" w:color="000000"/>
              <w:left w:val="single" w:sz="18" w:space="0" w:color="000000"/>
              <w:bottom w:val="single" w:sz="18" w:space="0" w:color="000000"/>
              <w:right w:val="nil"/>
            </w:tcBorders>
            <w:vAlign w:val="center"/>
            <w:hideMark/>
          </w:tcPr>
          <w:p w:rsidR="00591AC0" w:rsidRPr="00793600" w:rsidRDefault="00591AC0" w:rsidP="00543A75">
            <w:pPr>
              <w:spacing w:line="256" w:lineRule="auto"/>
              <w:rPr>
                <w:rFonts w:eastAsia="Times New Roman"/>
                <w:sz w:val="24"/>
                <w:szCs w:val="24"/>
              </w:rPr>
            </w:pPr>
          </w:p>
        </w:tc>
        <w:tc>
          <w:tcPr>
            <w:tcW w:w="78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DER</w:t>
            </w:r>
          </w:p>
        </w:tc>
        <w:tc>
          <w:tcPr>
            <w:tcW w:w="184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.588</w:t>
            </w:r>
          </w:p>
        </w:tc>
        <w:tc>
          <w:tcPr>
            <w:tcW w:w="170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1.699</w:t>
            </w:r>
          </w:p>
        </w:tc>
      </w:tr>
      <w:tr w:rsidR="00591AC0" w:rsidRPr="00793600" w:rsidTr="00543A75">
        <w:trPr>
          <w:cantSplit/>
          <w:trHeight w:val="326"/>
          <w:tblHeader/>
        </w:trPr>
        <w:tc>
          <w:tcPr>
            <w:tcW w:w="468" w:type="dxa"/>
            <w:vMerge/>
            <w:tcBorders>
              <w:top w:val="single" w:sz="18" w:space="0" w:color="000000"/>
              <w:left w:val="single" w:sz="18" w:space="0" w:color="000000"/>
              <w:bottom w:val="single" w:sz="18" w:space="0" w:color="000000"/>
              <w:right w:val="nil"/>
            </w:tcBorders>
            <w:vAlign w:val="center"/>
            <w:hideMark/>
          </w:tcPr>
          <w:p w:rsidR="00591AC0" w:rsidRPr="00793600" w:rsidRDefault="00591AC0" w:rsidP="00543A75">
            <w:pPr>
              <w:spacing w:line="256" w:lineRule="auto"/>
              <w:rPr>
                <w:rFonts w:eastAsia="Times New Roman"/>
                <w:sz w:val="24"/>
                <w:szCs w:val="24"/>
              </w:rPr>
            </w:pPr>
          </w:p>
        </w:tc>
        <w:tc>
          <w:tcPr>
            <w:tcW w:w="78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TATO</w:t>
            </w:r>
          </w:p>
        </w:tc>
        <w:tc>
          <w:tcPr>
            <w:tcW w:w="184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.984</w:t>
            </w:r>
          </w:p>
        </w:tc>
        <w:tc>
          <w:tcPr>
            <w:tcW w:w="170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1.016</w:t>
            </w:r>
          </w:p>
        </w:tc>
      </w:tr>
    </w:tbl>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591AC0" w:rsidRPr="00793600" w:rsidRDefault="00591AC0" w:rsidP="00591AC0">
      <w:pPr>
        <w:ind w:left="2160"/>
        <w:jc w:val="both"/>
        <w:rPr>
          <w:sz w:val="24"/>
          <w:szCs w:val="24"/>
          <w:lang w:val="id-ID"/>
        </w:rPr>
      </w:pPr>
    </w:p>
    <w:p w:rsidR="00000088" w:rsidRPr="00B5003E" w:rsidRDefault="00000088" w:rsidP="00000088">
      <w:pPr>
        <w:rPr>
          <w:sz w:val="24"/>
          <w:szCs w:val="24"/>
        </w:rPr>
      </w:pPr>
    </w:p>
    <w:p w:rsidR="00000088" w:rsidRPr="00B5003E" w:rsidRDefault="00000088" w:rsidP="00591AC0">
      <w:pPr>
        <w:ind w:right="380" w:firstLine="720"/>
        <w:jc w:val="both"/>
        <w:rPr>
          <w:sz w:val="24"/>
          <w:szCs w:val="24"/>
        </w:rPr>
      </w:pPr>
      <w:r w:rsidRPr="00B5003E">
        <w:rPr>
          <w:rFonts w:eastAsia="Arial Unicode MS"/>
          <w:bCs/>
          <w:sz w:val="24"/>
          <w:szCs w:val="24"/>
        </w:rPr>
        <w:t xml:space="preserve">From the data in the table above, it can be seen that there is no </w:t>
      </w:r>
      <w:proofErr w:type="spellStart"/>
      <w:r w:rsidRPr="00B5003E">
        <w:rPr>
          <w:rFonts w:eastAsia="Arial Unicode MS"/>
          <w:bCs/>
          <w:sz w:val="24"/>
          <w:szCs w:val="24"/>
        </w:rPr>
        <w:t>multicollinearity</w:t>
      </w:r>
      <w:proofErr w:type="spellEnd"/>
      <w:r w:rsidRPr="00B5003E">
        <w:rPr>
          <w:rFonts w:eastAsia="Arial Unicode MS"/>
          <w:bCs/>
          <w:sz w:val="24"/>
          <w:szCs w:val="24"/>
        </w:rPr>
        <w:t xml:space="preserve"> symptom between the independent variables as indicated by the value </w:t>
      </w:r>
      <w:r w:rsidRPr="00B5003E">
        <w:rPr>
          <w:rFonts w:eastAsia="Arial Unicode MS"/>
          <w:bCs/>
          <w:i/>
          <w:iCs/>
          <w:sz w:val="24"/>
          <w:szCs w:val="24"/>
        </w:rPr>
        <w:t>tolerance</w:t>
      </w:r>
      <w:r w:rsidRPr="00B5003E">
        <w:rPr>
          <w:rFonts w:eastAsia="Arial Unicode MS"/>
          <w:bCs/>
          <w:sz w:val="24"/>
          <w:szCs w:val="24"/>
        </w:rPr>
        <w:t xml:space="preserve"> each independent variable is greater than 0.1 and the BIF value is less than 10. So it can be concluded that further analysis can be carried out u</w:t>
      </w:r>
      <w:r w:rsidR="00591AC0">
        <w:rPr>
          <w:rFonts w:eastAsia="Arial Unicode MS"/>
          <w:bCs/>
          <w:sz w:val="24"/>
          <w:szCs w:val="24"/>
        </w:rPr>
        <w:t>sing multiple regression models</w:t>
      </w:r>
      <w:bookmarkStart w:id="7" w:name="page10"/>
      <w:bookmarkEnd w:id="7"/>
    </w:p>
    <w:p w:rsidR="00000088" w:rsidRPr="00B5003E" w:rsidRDefault="00591AC0" w:rsidP="000604C5">
      <w:pPr>
        <w:jc w:val="center"/>
        <w:rPr>
          <w:sz w:val="24"/>
          <w:szCs w:val="24"/>
        </w:rPr>
      </w:pPr>
      <w:r w:rsidRPr="00591AC0">
        <w:rPr>
          <w:sz w:val="24"/>
          <w:szCs w:val="24"/>
        </w:rPr>
        <w:drawing>
          <wp:inline distT="0" distB="0" distL="0" distR="0">
            <wp:extent cx="3171825" cy="2333625"/>
            <wp:effectExtent l="0" t="0" r="9525" b="9525"/>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1825" cy="2333625"/>
                    </a:xfrm>
                    <a:prstGeom prst="rect">
                      <a:avLst/>
                    </a:prstGeom>
                    <a:noFill/>
                    <a:ln>
                      <a:noFill/>
                    </a:ln>
                  </pic:spPr>
                </pic:pic>
              </a:graphicData>
            </a:graphic>
          </wp:inline>
        </w:drawing>
      </w:r>
    </w:p>
    <w:p w:rsidR="00000088" w:rsidRPr="00B5003E" w:rsidRDefault="00000088" w:rsidP="00000088">
      <w:pPr>
        <w:rPr>
          <w:sz w:val="24"/>
          <w:szCs w:val="24"/>
        </w:rPr>
      </w:pPr>
    </w:p>
    <w:p w:rsidR="00000088" w:rsidRPr="00B5003E" w:rsidRDefault="00000088" w:rsidP="00591AC0">
      <w:pPr>
        <w:jc w:val="center"/>
        <w:rPr>
          <w:sz w:val="24"/>
          <w:szCs w:val="24"/>
        </w:rPr>
      </w:pPr>
      <w:proofErr w:type="gramStart"/>
      <w:r w:rsidRPr="00B5003E">
        <w:rPr>
          <w:rFonts w:eastAsia="Arial Unicode MS"/>
          <w:bCs/>
          <w:sz w:val="24"/>
          <w:szCs w:val="24"/>
        </w:rPr>
        <w:t>Figure 2.</w:t>
      </w:r>
      <w:proofErr w:type="gramEnd"/>
      <w:r w:rsidRPr="00B5003E">
        <w:rPr>
          <w:rFonts w:eastAsia="Arial Unicode MS"/>
          <w:bCs/>
          <w:sz w:val="24"/>
          <w:szCs w:val="24"/>
        </w:rPr>
        <w:t xml:space="preserve"> </w:t>
      </w:r>
      <w:proofErr w:type="spellStart"/>
      <w:r w:rsidRPr="00B5003E">
        <w:rPr>
          <w:rFonts w:eastAsia="Arial Unicode MS"/>
          <w:bCs/>
          <w:sz w:val="24"/>
          <w:szCs w:val="24"/>
        </w:rPr>
        <w:t>Scatterplot</w:t>
      </w:r>
      <w:proofErr w:type="spellEnd"/>
      <w:r w:rsidRPr="00B5003E">
        <w:rPr>
          <w:rFonts w:eastAsia="Arial Unicode MS"/>
          <w:bCs/>
          <w:sz w:val="24"/>
          <w:szCs w:val="24"/>
        </w:rPr>
        <w:t xml:space="preserve"> of </w:t>
      </w:r>
      <w:proofErr w:type="spellStart"/>
      <w:r w:rsidRPr="00B5003E">
        <w:rPr>
          <w:rFonts w:eastAsia="Arial Unicode MS"/>
          <w:bCs/>
          <w:sz w:val="24"/>
          <w:szCs w:val="24"/>
        </w:rPr>
        <w:t>Heteroscedasticity</w:t>
      </w:r>
      <w:proofErr w:type="spellEnd"/>
      <w:r w:rsidRPr="00B5003E">
        <w:rPr>
          <w:rFonts w:eastAsia="Arial Unicode MS"/>
          <w:bCs/>
          <w:sz w:val="24"/>
          <w:szCs w:val="24"/>
        </w:rPr>
        <w:t xml:space="preserve"> Test</w:t>
      </w:r>
    </w:p>
    <w:p w:rsidR="00000088" w:rsidRPr="00B5003E" w:rsidRDefault="00000088" w:rsidP="00000088">
      <w:pPr>
        <w:rPr>
          <w:sz w:val="24"/>
          <w:szCs w:val="24"/>
        </w:rPr>
      </w:pPr>
    </w:p>
    <w:p w:rsidR="00000088" w:rsidRDefault="00000088" w:rsidP="00591AC0">
      <w:pPr>
        <w:ind w:right="880" w:firstLine="720"/>
        <w:jc w:val="both"/>
        <w:rPr>
          <w:rFonts w:eastAsia="Arial Unicode MS"/>
          <w:bCs/>
          <w:sz w:val="24"/>
          <w:szCs w:val="24"/>
        </w:rPr>
      </w:pPr>
      <w:r w:rsidRPr="00B5003E">
        <w:rPr>
          <w:rFonts w:eastAsia="Arial Unicode MS"/>
          <w:bCs/>
          <w:sz w:val="24"/>
          <w:szCs w:val="24"/>
        </w:rPr>
        <w:t xml:space="preserve">In the form of the image above we can see that the dots spread randomly, and do not form a certain pattern or line that is regular either at the top of the zero or at the bottom of the zero from the vertical axis or on the Y axis. </w:t>
      </w:r>
      <w:proofErr w:type="gramStart"/>
      <w:r w:rsidRPr="00B5003E">
        <w:rPr>
          <w:rFonts w:eastAsia="Arial Unicode MS"/>
          <w:bCs/>
          <w:sz w:val="24"/>
          <w:szCs w:val="24"/>
        </w:rPr>
        <w:t>on</w:t>
      </w:r>
      <w:proofErr w:type="gramEnd"/>
      <w:r w:rsidRPr="00B5003E">
        <w:rPr>
          <w:rFonts w:eastAsia="Arial Unicode MS"/>
          <w:bCs/>
          <w:sz w:val="24"/>
          <w:szCs w:val="24"/>
        </w:rPr>
        <w:t xml:space="preserve"> the regression model.</w:t>
      </w:r>
    </w:p>
    <w:p w:rsidR="00591AC0" w:rsidRDefault="00591AC0" w:rsidP="00591AC0">
      <w:pPr>
        <w:ind w:right="880" w:firstLine="720"/>
        <w:jc w:val="both"/>
        <w:rPr>
          <w:rFonts w:eastAsia="Arial Unicode MS"/>
          <w:bCs/>
          <w:sz w:val="24"/>
          <w:szCs w:val="24"/>
        </w:rPr>
      </w:pPr>
    </w:p>
    <w:p w:rsidR="00591AC0" w:rsidRPr="00B5003E" w:rsidRDefault="00591AC0" w:rsidP="00591AC0">
      <w:pPr>
        <w:ind w:right="880" w:firstLine="720"/>
        <w:jc w:val="both"/>
        <w:rPr>
          <w:sz w:val="24"/>
          <w:szCs w:val="24"/>
        </w:rPr>
      </w:pPr>
    </w:p>
    <w:p w:rsidR="00591AC0" w:rsidRPr="00793600" w:rsidRDefault="000604C5" w:rsidP="00591AC0">
      <w:pPr>
        <w:spacing w:after="160" w:line="256" w:lineRule="auto"/>
        <w:ind w:left="2694"/>
        <w:rPr>
          <w:sz w:val="24"/>
          <w:szCs w:val="24"/>
          <w:lang w:val="id-ID"/>
        </w:rPr>
      </w:pPr>
      <w:proofErr w:type="gramStart"/>
      <w:r w:rsidRPr="00B5003E">
        <w:rPr>
          <w:rFonts w:eastAsia="Arial Unicode MS"/>
          <w:bCs/>
          <w:sz w:val="24"/>
          <w:szCs w:val="24"/>
        </w:rPr>
        <w:t>Table 2.</w:t>
      </w:r>
      <w:proofErr w:type="gramEnd"/>
      <w:r w:rsidRPr="00B5003E">
        <w:rPr>
          <w:rFonts w:eastAsia="Arial Unicode MS"/>
          <w:bCs/>
          <w:sz w:val="24"/>
          <w:szCs w:val="24"/>
        </w:rPr>
        <w:t xml:space="preserve"> Multiple Linear </w:t>
      </w:r>
      <w:proofErr w:type="gramStart"/>
      <w:r w:rsidRPr="00B5003E">
        <w:rPr>
          <w:rFonts w:eastAsia="Arial Unicode MS"/>
          <w:bCs/>
          <w:sz w:val="24"/>
          <w:szCs w:val="24"/>
        </w:rPr>
        <w:t>Regression</w:t>
      </w:r>
      <w:proofErr w:type="gramEnd"/>
      <w:r w:rsidRPr="00793600">
        <w:rPr>
          <w:b/>
          <w:sz w:val="24"/>
          <w:szCs w:val="24"/>
          <w:lang w:val="id-ID"/>
        </w:rPr>
        <w:t xml:space="preserve"> </w:t>
      </w:r>
    </w:p>
    <w:tbl>
      <w:tblPr>
        <w:tblpPr w:leftFromText="180" w:rightFromText="180" w:bottomFromText="160" w:vertAnchor="text" w:horzAnchor="margin" w:tblpY="116"/>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07"/>
        <w:gridCol w:w="1318"/>
        <w:gridCol w:w="1559"/>
        <w:gridCol w:w="1418"/>
        <w:gridCol w:w="1540"/>
        <w:gridCol w:w="1275"/>
        <w:gridCol w:w="993"/>
      </w:tblGrid>
      <w:tr w:rsidR="00591AC0" w:rsidRPr="00793600" w:rsidTr="00543A75">
        <w:trPr>
          <w:cantSplit/>
          <w:tblHeader/>
        </w:trPr>
        <w:tc>
          <w:tcPr>
            <w:tcW w:w="2125"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rPr>
                <w:rFonts w:eastAsia="Times New Roman"/>
                <w:sz w:val="24"/>
                <w:szCs w:val="24"/>
              </w:rPr>
            </w:pPr>
            <w:r w:rsidRPr="00793600">
              <w:rPr>
                <w:sz w:val="24"/>
                <w:szCs w:val="24"/>
              </w:rPr>
              <w:t>Model</w:t>
            </w:r>
          </w:p>
        </w:tc>
        <w:tc>
          <w:tcPr>
            <w:tcW w:w="2977"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proofErr w:type="spellStart"/>
            <w:r w:rsidRPr="00793600">
              <w:rPr>
                <w:sz w:val="24"/>
                <w:szCs w:val="24"/>
              </w:rPr>
              <w:t>Unstandardized</w:t>
            </w:r>
            <w:proofErr w:type="spellEnd"/>
            <w:r w:rsidRPr="00793600">
              <w:rPr>
                <w:sz w:val="24"/>
                <w:szCs w:val="24"/>
              </w:rPr>
              <w:t xml:space="preserve"> Coefficients</w:t>
            </w:r>
          </w:p>
        </w:tc>
        <w:tc>
          <w:tcPr>
            <w:tcW w:w="1540"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r w:rsidRPr="00793600">
              <w:rPr>
                <w:sz w:val="24"/>
                <w:szCs w:val="24"/>
              </w:rPr>
              <w:t>Standardized Coefficients</w:t>
            </w:r>
          </w:p>
        </w:tc>
        <w:tc>
          <w:tcPr>
            <w:tcW w:w="1275"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r w:rsidRPr="00793600">
              <w:rPr>
                <w:sz w:val="24"/>
                <w:szCs w:val="24"/>
              </w:rPr>
              <w:t>T</w:t>
            </w:r>
          </w:p>
        </w:tc>
        <w:tc>
          <w:tcPr>
            <w:tcW w:w="993"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r w:rsidRPr="00793600">
              <w:rPr>
                <w:sz w:val="24"/>
                <w:szCs w:val="24"/>
              </w:rPr>
              <w:t>Sig.</w:t>
            </w:r>
          </w:p>
        </w:tc>
      </w:tr>
      <w:tr w:rsidR="00591AC0" w:rsidRPr="00793600" w:rsidTr="00543A75">
        <w:trPr>
          <w:cantSplit/>
          <w:tblHeader/>
        </w:trPr>
        <w:tc>
          <w:tcPr>
            <w:tcW w:w="2125"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591AC0" w:rsidRPr="00793600" w:rsidRDefault="00591AC0" w:rsidP="00543A75">
            <w:pPr>
              <w:spacing w:line="256" w:lineRule="auto"/>
              <w:rPr>
                <w:rFonts w:eastAsia="Times New Roman"/>
                <w:sz w:val="24"/>
                <w:szCs w:val="24"/>
              </w:rPr>
            </w:pPr>
          </w:p>
        </w:tc>
        <w:tc>
          <w:tcPr>
            <w:tcW w:w="1559"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r w:rsidRPr="00793600">
              <w:rPr>
                <w:sz w:val="24"/>
                <w:szCs w:val="24"/>
              </w:rPr>
              <w:t>B</w:t>
            </w:r>
          </w:p>
        </w:tc>
        <w:tc>
          <w:tcPr>
            <w:tcW w:w="141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r w:rsidRPr="00793600">
              <w:rPr>
                <w:sz w:val="24"/>
                <w:szCs w:val="24"/>
              </w:rPr>
              <w:t>Std. Error</w:t>
            </w:r>
          </w:p>
        </w:tc>
        <w:tc>
          <w:tcPr>
            <w:tcW w:w="1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91AC0" w:rsidRPr="00793600" w:rsidRDefault="00591AC0" w:rsidP="00543A75">
            <w:pPr>
              <w:spacing w:line="320" w:lineRule="atLeast"/>
              <w:jc w:val="center"/>
              <w:rPr>
                <w:sz w:val="24"/>
                <w:szCs w:val="24"/>
              </w:rPr>
            </w:pPr>
            <w:r w:rsidRPr="00793600">
              <w:rPr>
                <w:sz w:val="24"/>
                <w:szCs w:val="24"/>
              </w:rPr>
              <w:t>Beta</w:t>
            </w:r>
          </w:p>
        </w:tc>
        <w:tc>
          <w:tcPr>
            <w:tcW w:w="1275" w:type="dxa"/>
            <w:vMerge/>
            <w:tcBorders>
              <w:top w:val="single" w:sz="18" w:space="0" w:color="000000"/>
              <w:left w:val="single" w:sz="8" w:space="0" w:color="000000"/>
              <w:bottom w:val="single" w:sz="18" w:space="0" w:color="000000"/>
              <w:right w:val="single" w:sz="8" w:space="0" w:color="000000"/>
            </w:tcBorders>
            <w:vAlign w:val="center"/>
            <w:hideMark/>
          </w:tcPr>
          <w:p w:rsidR="00591AC0" w:rsidRPr="00793600" w:rsidRDefault="00591AC0" w:rsidP="00543A75">
            <w:pPr>
              <w:spacing w:line="256" w:lineRule="auto"/>
              <w:rPr>
                <w:rFonts w:eastAsia="Times New Roman"/>
                <w:sz w:val="24"/>
                <w:szCs w:val="24"/>
              </w:rPr>
            </w:pPr>
          </w:p>
        </w:tc>
        <w:tc>
          <w:tcPr>
            <w:tcW w:w="993" w:type="dxa"/>
            <w:vMerge/>
            <w:tcBorders>
              <w:top w:val="single" w:sz="18" w:space="0" w:color="000000"/>
              <w:left w:val="single" w:sz="8" w:space="0" w:color="000000"/>
              <w:bottom w:val="single" w:sz="18" w:space="0" w:color="000000"/>
              <w:right w:val="single" w:sz="8" w:space="0" w:color="000000"/>
            </w:tcBorders>
            <w:vAlign w:val="center"/>
            <w:hideMark/>
          </w:tcPr>
          <w:p w:rsidR="00591AC0" w:rsidRPr="00793600" w:rsidRDefault="00591AC0" w:rsidP="00543A75">
            <w:pPr>
              <w:spacing w:line="256" w:lineRule="auto"/>
              <w:rPr>
                <w:rFonts w:eastAsia="Times New Roman"/>
                <w:sz w:val="24"/>
                <w:szCs w:val="24"/>
              </w:rPr>
            </w:pPr>
          </w:p>
        </w:tc>
      </w:tr>
      <w:tr w:rsidR="00591AC0" w:rsidRPr="00793600" w:rsidTr="00543A75">
        <w:trPr>
          <w:cantSplit/>
          <w:tblHeader/>
        </w:trPr>
        <w:tc>
          <w:tcPr>
            <w:tcW w:w="807"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1</w:t>
            </w:r>
          </w:p>
        </w:tc>
        <w:tc>
          <w:tcPr>
            <w:tcW w:w="131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(Constant)</w:t>
            </w:r>
          </w:p>
        </w:tc>
        <w:tc>
          <w:tcPr>
            <w:tcW w:w="155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.038</w:t>
            </w:r>
          </w:p>
        </w:tc>
        <w:tc>
          <w:tcPr>
            <w:tcW w:w="141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.063</w:t>
            </w:r>
          </w:p>
        </w:tc>
        <w:tc>
          <w:tcPr>
            <w:tcW w:w="1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591AC0" w:rsidRPr="00793600" w:rsidRDefault="00591AC0" w:rsidP="00543A75">
            <w:pPr>
              <w:spacing w:line="256" w:lineRule="auto"/>
              <w:rPr>
                <w:sz w:val="24"/>
                <w:szCs w:val="24"/>
              </w:rPr>
            </w:pPr>
          </w:p>
        </w:tc>
        <w:tc>
          <w:tcPr>
            <w:tcW w:w="127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.612</w:t>
            </w:r>
          </w:p>
        </w:tc>
        <w:tc>
          <w:tcPr>
            <w:tcW w:w="99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.545</w:t>
            </w:r>
          </w:p>
        </w:tc>
      </w:tr>
      <w:tr w:rsidR="00591AC0" w:rsidRPr="00793600" w:rsidTr="00543A75">
        <w:trPr>
          <w:cantSplit/>
          <w:tblHeader/>
        </w:trPr>
        <w:tc>
          <w:tcPr>
            <w:tcW w:w="807" w:type="dxa"/>
            <w:vMerge/>
            <w:tcBorders>
              <w:top w:val="single" w:sz="18" w:space="0" w:color="000000"/>
              <w:left w:val="single" w:sz="18" w:space="0" w:color="000000"/>
              <w:bottom w:val="single" w:sz="18" w:space="0" w:color="000000"/>
              <w:right w:val="nil"/>
            </w:tcBorders>
            <w:vAlign w:val="center"/>
            <w:hideMark/>
          </w:tcPr>
          <w:p w:rsidR="00591AC0" w:rsidRPr="00793600" w:rsidRDefault="00591AC0" w:rsidP="00543A75">
            <w:pPr>
              <w:spacing w:line="256" w:lineRule="auto"/>
              <w:rPr>
                <w:rFonts w:eastAsia="Times New Roman"/>
                <w:sz w:val="24"/>
                <w:szCs w:val="24"/>
              </w:rPr>
            </w:pPr>
          </w:p>
        </w:tc>
        <w:tc>
          <w:tcPr>
            <w:tcW w:w="13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CR</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-7.246</w:t>
            </w:r>
          </w:p>
        </w:tc>
        <w:tc>
          <w:tcPr>
            <w:tcW w:w="14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.000</w:t>
            </w:r>
          </w:p>
        </w:tc>
        <w:tc>
          <w:tcPr>
            <w:tcW w:w="1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-.084</w:t>
            </w:r>
          </w:p>
        </w:tc>
        <w:tc>
          <w:tcPr>
            <w:tcW w:w="127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-.514</w:t>
            </w:r>
          </w:p>
        </w:tc>
        <w:tc>
          <w:tcPr>
            <w:tcW w:w="9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.611</w:t>
            </w:r>
          </w:p>
        </w:tc>
      </w:tr>
      <w:tr w:rsidR="00591AC0" w:rsidRPr="00793600" w:rsidTr="00543A75">
        <w:trPr>
          <w:cantSplit/>
          <w:tblHeader/>
        </w:trPr>
        <w:tc>
          <w:tcPr>
            <w:tcW w:w="807" w:type="dxa"/>
            <w:vMerge/>
            <w:tcBorders>
              <w:top w:val="single" w:sz="18" w:space="0" w:color="000000"/>
              <w:left w:val="single" w:sz="18" w:space="0" w:color="000000"/>
              <w:bottom w:val="single" w:sz="18" w:space="0" w:color="000000"/>
              <w:right w:val="nil"/>
            </w:tcBorders>
            <w:vAlign w:val="center"/>
            <w:hideMark/>
          </w:tcPr>
          <w:p w:rsidR="00591AC0" w:rsidRPr="00793600" w:rsidRDefault="00591AC0" w:rsidP="00543A75">
            <w:pPr>
              <w:spacing w:line="256" w:lineRule="auto"/>
              <w:rPr>
                <w:rFonts w:eastAsia="Times New Roman"/>
                <w:sz w:val="24"/>
                <w:szCs w:val="24"/>
              </w:rPr>
            </w:pPr>
          </w:p>
        </w:tc>
        <w:tc>
          <w:tcPr>
            <w:tcW w:w="13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DER</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.000</w:t>
            </w:r>
          </w:p>
        </w:tc>
        <w:tc>
          <w:tcPr>
            <w:tcW w:w="14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.000</w:t>
            </w:r>
          </w:p>
        </w:tc>
        <w:tc>
          <w:tcPr>
            <w:tcW w:w="1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-.192</w:t>
            </w:r>
          </w:p>
        </w:tc>
        <w:tc>
          <w:tcPr>
            <w:tcW w:w="127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-1.160</w:t>
            </w:r>
          </w:p>
        </w:tc>
        <w:tc>
          <w:tcPr>
            <w:tcW w:w="9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.255</w:t>
            </w:r>
          </w:p>
        </w:tc>
      </w:tr>
      <w:tr w:rsidR="00591AC0" w:rsidRPr="00793600" w:rsidTr="00543A75">
        <w:trPr>
          <w:cantSplit/>
          <w:tblHeader/>
        </w:trPr>
        <w:tc>
          <w:tcPr>
            <w:tcW w:w="807" w:type="dxa"/>
            <w:vMerge/>
            <w:tcBorders>
              <w:top w:val="single" w:sz="18" w:space="0" w:color="000000"/>
              <w:left w:val="single" w:sz="18" w:space="0" w:color="000000"/>
              <w:bottom w:val="single" w:sz="18" w:space="0" w:color="000000"/>
              <w:right w:val="nil"/>
            </w:tcBorders>
            <w:vAlign w:val="center"/>
            <w:hideMark/>
          </w:tcPr>
          <w:p w:rsidR="00591AC0" w:rsidRPr="00793600" w:rsidRDefault="00591AC0" w:rsidP="00543A75">
            <w:pPr>
              <w:spacing w:line="256" w:lineRule="auto"/>
              <w:rPr>
                <w:rFonts w:eastAsia="Times New Roman"/>
                <w:sz w:val="24"/>
                <w:szCs w:val="24"/>
              </w:rPr>
            </w:pPr>
          </w:p>
        </w:tc>
        <w:tc>
          <w:tcPr>
            <w:tcW w:w="131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591AC0" w:rsidRPr="00793600" w:rsidRDefault="00591AC0" w:rsidP="00543A75">
            <w:pPr>
              <w:spacing w:line="320" w:lineRule="atLeast"/>
              <w:rPr>
                <w:sz w:val="24"/>
                <w:szCs w:val="24"/>
              </w:rPr>
            </w:pPr>
            <w:r w:rsidRPr="00793600">
              <w:rPr>
                <w:sz w:val="24"/>
                <w:szCs w:val="24"/>
              </w:rPr>
              <w:t>TATO</w:t>
            </w:r>
          </w:p>
        </w:tc>
        <w:tc>
          <w:tcPr>
            <w:tcW w:w="155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.235</w:t>
            </w:r>
          </w:p>
        </w:tc>
        <w:tc>
          <w:tcPr>
            <w:tcW w:w="141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.042</w:t>
            </w:r>
          </w:p>
        </w:tc>
        <w:tc>
          <w:tcPr>
            <w:tcW w:w="1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.711</w:t>
            </w:r>
          </w:p>
        </w:tc>
        <w:tc>
          <w:tcPr>
            <w:tcW w:w="127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5.568</w:t>
            </w:r>
          </w:p>
        </w:tc>
        <w:tc>
          <w:tcPr>
            <w:tcW w:w="99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91AC0" w:rsidRPr="00793600" w:rsidRDefault="00591AC0" w:rsidP="00543A75">
            <w:pPr>
              <w:spacing w:line="320" w:lineRule="atLeast"/>
              <w:jc w:val="right"/>
              <w:rPr>
                <w:sz w:val="24"/>
                <w:szCs w:val="24"/>
              </w:rPr>
            </w:pPr>
            <w:r w:rsidRPr="00793600">
              <w:rPr>
                <w:sz w:val="24"/>
                <w:szCs w:val="24"/>
              </w:rPr>
              <w:t>.000</w:t>
            </w:r>
          </w:p>
        </w:tc>
      </w:tr>
    </w:tbl>
    <w:p w:rsidR="00000088" w:rsidRPr="00B5003E" w:rsidRDefault="00000088" w:rsidP="000604C5">
      <w:pPr>
        <w:ind w:firstLine="720"/>
        <w:jc w:val="both"/>
        <w:rPr>
          <w:sz w:val="24"/>
          <w:szCs w:val="24"/>
        </w:rPr>
      </w:pPr>
      <w:r w:rsidRPr="00B5003E">
        <w:rPr>
          <w:rFonts w:eastAsia="Arial Unicode MS"/>
          <w:bCs/>
          <w:sz w:val="24"/>
          <w:szCs w:val="24"/>
        </w:rPr>
        <w:t>Based on table 4.9 above, the multiple linear regression equation that can be formulated is as follows:</w:t>
      </w:r>
    </w:p>
    <w:p w:rsidR="00000088" w:rsidRPr="00B5003E" w:rsidRDefault="00000088" w:rsidP="000604C5">
      <w:pPr>
        <w:ind w:left="720"/>
        <w:jc w:val="both"/>
        <w:rPr>
          <w:sz w:val="24"/>
          <w:szCs w:val="24"/>
        </w:rPr>
      </w:pPr>
      <w:r w:rsidRPr="00B5003E">
        <w:rPr>
          <w:rFonts w:eastAsia="Arial Unicode MS"/>
          <w:bCs/>
          <w:sz w:val="24"/>
          <w:szCs w:val="24"/>
        </w:rPr>
        <w:t>Y = 0.038 + -7,246+ 0,000 + 0.235</w:t>
      </w:r>
    </w:p>
    <w:p w:rsidR="000604C5" w:rsidRDefault="000604C5" w:rsidP="00000088">
      <w:pPr>
        <w:rPr>
          <w:rFonts w:eastAsia="Arial Unicode MS"/>
          <w:bCs/>
          <w:sz w:val="24"/>
          <w:szCs w:val="24"/>
        </w:rPr>
      </w:pPr>
    </w:p>
    <w:p w:rsidR="00000088" w:rsidRPr="00B5003E" w:rsidRDefault="00000088" w:rsidP="00000088">
      <w:pPr>
        <w:rPr>
          <w:sz w:val="24"/>
          <w:szCs w:val="24"/>
        </w:rPr>
      </w:pPr>
      <w:r w:rsidRPr="00B5003E">
        <w:rPr>
          <w:rFonts w:eastAsia="Arial Unicode MS"/>
          <w:bCs/>
          <w:sz w:val="24"/>
          <w:szCs w:val="24"/>
        </w:rPr>
        <w:t>Information:</w:t>
      </w:r>
    </w:p>
    <w:p w:rsidR="000604C5" w:rsidRPr="000604C5" w:rsidRDefault="00000088" w:rsidP="000604C5">
      <w:pPr>
        <w:pStyle w:val="ListParagraph"/>
        <w:numPr>
          <w:ilvl w:val="0"/>
          <w:numId w:val="5"/>
        </w:numPr>
        <w:jc w:val="both"/>
        <w:rPr>
          <w:sz w:val="24"/>
          <w:szCs w:val="24"/>
        </w:rPr>
      </w:pPr>
      <w:r w:rsidRPr="000604C5">
        <w:rPr>
          <w:rFonts w:eastAsia="Arial Unicode MS"/>
          <w:bCs/>
          <w:sz w:val="24"/>
          <w:szCs w:val="24"/>
        </w:rPr>
        <w:t xml:space="preserve">The value of a = 0.338 indicates that if the independent variable is </w:t>
      </w:r>
      <w:r w:rsidRPr="000604C5">
        <w:rPr>
          <w:rFonts w:eastAsia="Arial Unicode MS"/>
          <w:bCs/>
          <w:i/>
          <w:iCs/>
          <w:sz w:val="24"/>
          <w:szCs w:val="24"/>
        </w:rPr>
        <w:t>Current Ratio (</w:t>
      </w:r>
      <w:r w:rsidRPr="000604C5">
        <w:rPr>
          <w:rFonts w:eastAsia="Arial Unicode MS"/>
          <w:bCs/>
          <w:sz w:val="24"/>
          <w:szCs w:val="24"/>
        </w:rPr>
        <w:t xml:space="preserve"> X 1), </w:t>
      </w:r>
      <w:r w:rsidRPr="000604C5">
        <w:rPr>
          <w:rFonts w:eastAsia="Arial Unicode MS"/>
          <w:bCs/>
          <w:i/>
          <w:iCs/>
          <w:sz w:val="24"/>
          <w:szCs w:val="24"/>
        </w:rPr>
        <w:t>Debt</w:t>
      </w:r>
      <w:r w:rsidR="000604C5">
        <w:rPr>
          <w:rFonts w:eastAsia="Arial Unicode MS"/>
          <w:bCs/>
          <w:i/>
          <w:iCs/>
          <w:sz w:val="24"/>
          <w:szCs w:val="24"/>
        </w:rPr>
        <w:t xml:space="preserve"> </w:t>
      </w:r>
      <w:r w:rsidRPr="000604C5">
        <w:rPr>
          <w:rFonts w:eastAsia="Arial Unicode MS"/>
          <w:bCs/>
          <w:i/>
          <w:iCs/>
          <w:sz w:val="24"/>
          <w:szCs w:val="24"/>
        </w:rPr>
        <w:t xml:space="preserve">To Equity Ratio ( </w:t>
      </w:r>
      <w:r w:rsidRPr="000604C5">
        <w:rPr>
          <w:rFonts w:eastAsia="Arial Unicode MS"/>
          <w:bCs/>
          <w:sz w:val="24"/>
          <w:szCs w:val="24"/>
        </w:rPr>
        <w:t>X2)and</w:t>
      </w:r>
      <w:r w:rsidRPr="000604C5">
        <w:rPr>
          <w:rFonts w:eastAsia="Arial Unicode MS"/>
          <w:bCs/>
          <w:i/>
          <w:iCs/>
          <w:sz w:val="24"/>
          <w:szCs w:val="24"/>
        </w:rPr>
        <w:t xml:space="preserve"> Total Asset Turnover ( </w:t>
      </w:r>
      <w:r w:rsidRPr="000604C5">
        <w:rPr>
          <w:rFonts w:eastAsia="Arial Unicode MS"/>
          <w:bCs/>
          <w:sz w:val="24"/>
          <w:szCs w:val="24"/>
        </w:rPr>
        <w:t xml:space="preserve">TATTOOS) is in a constant state or does not change(equal to zero), then the value </w:t>
      </w:r>
      <w:r w:rsidRPr="000604C5">
        <w:rPr>
          <w:rFonts w:eastAsia="Arial Unicode MS"/>
          <w:bCs/>
          <w:i/>
          <w:iCs/>
          <w:sz w:val="24"/>
          <w:szCs w:val="24"/>
        </w:rPr>
        <w:t>Return On Equity (</w:t>
      </w:r>
      <w:r w:rsidRPr="000604C5">
        <w:rPr>
          <w:rFonts w:eastAsia="Arial Unicode MS"/>
          <w:bCs/>
          <w:sz w:val="24"/>
          <w:szCs w:val="24"/>
        </w:rPr>
        <w:t xml:space="preserve"> Y) is equal to</w:t>
      </w:r>
      <w:r w:rsidR="000604C5">
        <w:rPr>
          <w:rFonts w:eastAsia="Arial Unicode MS"/>
          <w:bCs/>
          <w:sz w:val="24"/>
          <w:szCs w:val="24"/>
        </w:rPr>
        <w:t xml:space="preserve"> </w:t>
      </w:r>
      <w:r w:rsidRPr="000604C5">
        <w:rPr>
          <w:rFonts w:eastAsia="Arial Unicode MS"/>
          <w:bCs/>
          <w:sz w:val="24"/>
          <w:szCs w:val="24"/>
        </w:rPr>
        <w:t>0.038.</w:t>
      </w:r>
    </w:p>
    <w:p w:rsidR="000604C5" w:rsidRDefault="00000088" w:rsidP="000604C5">
      <w:pPr>
        <w:pStyle w:val="ListParagraph"/>
        <w:numPr>
          <w:ilvl w:val="0"/>
          <w:numId w:val="5"/>
        </w:numPr>
        <w:tabs>
          <w:tab w:val="left" w:pos="420"/>
        </w:tabs>
        <w:jc w:val="both"/>
        <w:rPr>
          <w:rFonts w:eastAsia="Arial Unicode MS"/>
          <w:bCs/>
          <w:sz w:val="24"/>
          <w:szCs w:val="24"/>
        </w:rPr>
      </w:pPr>
      <w:r w:rsidRPr="000604C5">
        <w:rPr>
          <w:rFonts w:eastAsia="Arial Unicode MS"/>
          <w:bCs/>
          <w:sz w:val="24"/>
          <w:szCs w:val="24"/>
        </w:rPr>
        <w:t xml:space="preserve">The regression coefficient value X1 = -7,246 means that the other independent variables are fixed and </w:t>
      </w:r>
      <w:r w:rsidRPr="000604C5">
        <w:rPr>
          <w:rFonts w:eastAsia="Arial Unicode MS"/>
          <w:bCs/>
          <w:i/>
          <w:iCs/>
          <w:sz w:val="24"/>
          <w:szCs w:val="24"/>
        </w:rPr>
        <w:t>Current Ratio</w:t>
      </w:r>
      <w:r w:rsidRPr="000604C5">
        <w:rPr>
          <w:rFonts w:eastAsia="Arial Unicode MS"/>
          <w:bCs/>
          <w:sz w:val="24"/>
          <w:szCs w:val="24"/>
        </w:rPr>
        <w:t xml:space="preserve"> increased by 1% then </w:t>
      </w:r>
      <w:r w:rsidRPr="000604C5">
        <w:rPr>
          <w:rFonts w:eastAsia="Arial Unicode MS"/>
          <w:bCs/>
          <w:i/>
          <w:iCs/>
          <w:sz w:val="24"/>
          <w:szCs w:val="24"/>
        </w:rPr>
        <w:t>Return On Equity (</w:t>
      </w:r>
      <w:r w:rsidRPr="000604C5">
        <w:rPr>
          <w:rFonts w:eastAsia="Arial Unicode MS"/>
          <w:bCs/>
          <w:sz w:val="24"/>
          <w:szCs w:val="24"/>
        </w:rPr>
        <w:t xml:space="preserve"> Y) will decrease by 7,246. The coefficient is negative, meaning that there is a negative relationship between </w:t>
      </w:r>
      <w:r w:rsidRPr="000604C5">
        <w:rPr>
          <w:rFonts w:eastAsia="Arial Unicode MS"/>
          <w:bCs/>
          <w:i/>
          <w:iCs/>
          <w:sz w:val="24"/>
          <w:szCs w:val="24"/>
        </w:rPr>
        <w:t xml:space="preserve">Current </w:t>
      </w:r>
      <w:proofErr w:type="spellStart"/>
      <w:r w:rsidRPr="000604C5">
        <w:rPr>
          <w:rFonts w:eastAsia="Arial Unicode MS"/>
          <w:bCs/>
          <w:i/>
          <w:iCs/>
          <w:sz w:val="24"/>
          <w:szCs w:val="24"/>
        </w:rPr>
        <w:t>Rat</w:t>
      </w:r>
      <w:r w:rsidR="000604C5" w:rsidRPr="000604C5">
        <w:rPr>
          <w:rFonts w:eastAsia="Arial Unicode MS"/>
          <w:bCs/>
          <w:i/>
          <w:iCs/>
          <w:sz w:val="24"/>
          <w:szCs w:val="24"/>
        </w:rPr>
        <w:t>o</w:t>
      </w:r>
      <w:proofErr w:type="spellEnd"/>
      <w:r w:rsidR="000604C5" w:rsidRPr="000604C5">
        <w:rPr>
          <w:rFonts w:eastAsia="Arial Unicode MS"/>
          <w:bCs/>
          <w:i/>
          <w:iCs/>
          <w:sz w:val="24"/>
          <w:szCs w:val="24"/>
        </w:rPr>
        <w:t xml:space="preserve"> </w:t>
      </w:r>
      <w:proofErr w:type="spellStart"/>
      <w:r w:rsidR="000604C5" w:rsidRPr="000604C5">
        <w:rPr>
          <w:rFonts w:eastAsia="Arial Unicode MS"/>
          <w:bCs/>
          <w:sz w:val="24"/>
          <w:szCs w:val="24"/>
        </w:rPr>
        <w:t>with</w:t>
      </w:r>
      <w:r w:rsidR="000604C5" w:rsidRPr="000604C5">
        <w:rPr>
          <w:rFonts w:eastAsia="Arial Unicode MS"/>
          <w:bCs/>
          <w:i/>
          <w:iCs/>
          <w:sz w:val="24"/>
          <w:szCs w:val="24"/>
        </w:rPr>
        <w:t>Return</w:t>
      </w:r>
      <w:proofErr w:type="spellEnd"/>
      <w:r w:rsidR="000604C5" w:rsidRPr="000604C5">
        <w:rPr>
          <w:rFonts w:eastAsia="Arial Unicode MS"/>
          <w:bCs/>
          <w:i/>
          <w:iCs/>
          <w:sz w:val="24"/>
          <w:szCs w:val="24"/>
        </w:rPr>
        <w:t xml:space="preserve"> On Equity </w:t>
      </w:r>
      <w:proofErr w:type="gramStart"/>
      <w:r w:rsidR="000604C5" w:rsidRPr="000604C5">
        <w:rPr>
          <w:rFonts w:eastAsia="Arial Unicode MS"/>
          <w:bCs/>
          <w:i/>
          <w:iCs/>
          <w:sz w:val="24"/>
          <w:szCs w:val="24"/>
        </w:rPr>
        <w:t>(</w:t>
      </w:r>
      <w:r w:rsidR="000604C5" w:rsidRPr="000604C5">
        <w:rPr>
          <w:rFonts w:eastAsia="Arial Unicode MS"/>
          <w:bCs/>
          <w:sz w:val="24"/>
          <w:szCs w:val="24"/>
        </w:rPr>
        <w:t xml:space="preserve"> stock</w:t>
      </w:r>
      <w:proofErr w:type="gramEnd"/>
      <w:r w:rsidR="000604C5" w:rsidRPr="000604C5">
        <w:rPr>
          <w:rFonts w:eastAsia="Arial Unicode MS"/>
          <w:bCs/>
          <w:sz w:val="24"/>
          <w:szCs w:val="24"/>
        </w:rPr>
        <w:t xml:space="preserve"> price). Getting up </w:t>
      </w:r>
      <w:r w:rsidR="000604C5" w:rsidRPr="000604C5">
        <w:rPr>
          <w:rFonts w:eastAsia="Arial Unicode MS"/>
          <w:bCs/>
          <w:i/>
          <w:iCs/>
          <w:sz w:val="24"/>
          <w:szCs w:val="24"/>
        </w:rPr>
        <w:t xml:space="preserve">Return </w:t>
      </w:r>
      <w:proofErr w:type="gramStart"/>
      <w:r w:rsidR="000604C5" w:rsidRPr="000604C5">
        <w:rPr>
          <w:rFonts w:eastAsia="Arial Unicode MS"/>
          <w:bCs/>
          <w:i/>
          <w:iCs/>
          <w:sz w:val="24"/>
          <w:szCs w:val="24"/>
        </w:rPr>
        <w:t>On</w:t>
      </w:r>
      <w:proofErr w:type="gramEnd"/>
      <w:r w:rsidR="000604C5" w:rsidRPr="000604C5">
        <w:rPr>
          <w:rFonts w:eastAsia="Arial Unicode MS"/>
          <w:bCs/>
          <w:i/>
          <w:iCs/>
          <w:sz w:val="24"/>
          <w:szCs w:val="24"/>
        </w:rPr>
        <w:t xml:space="preserve"> Equity</w:t>
      </w:r>
      <w:r w:rsidR="000604C5" w:rsidRPr="000604C5">
        <w:rPr>
          <w:rFonts w:eastAsia="Arial Unicode MS"/>
          <w:bCs/>
          <w:sz w:val="24"/>
          <w:szCs w:val="24"/>
        </w:rPr>
        <w:t xml:space="preserve"> the lower the share price.</w:t>
      </w:r>
      <w:bookmarkStart w:id="8" w:name="page11"/>
      <w:bookmarkEnd w:id="8"/>
    </w:p>
    <w:p w:rsidR="000604C5" w:rsidRDefault="00000088" w:rsidP="000604C5">
      <w:pPr>
        <w:pStyle w:val="ListParagraph"/>
        <w:numPr>
          <w:ilvl w:val="0"/>
          <w:numId w:val="5"/>
        </w:numPr>
        <w:tabs>
          <w:tab w:val="left" w:pos="420"/>
        </w:tabs>
        <w:jc w:val="both"/>
        <w:rPr>
          <w:rFonts w:eastAsia="Arial Unicode MS"/>
          <w:bCs/>
          <w:sz w:val="24"/>
          <w:szCs w:val="24"/>
        </w:rPr>
      </w:pPr>
      <w:r w:rsidRPr="000604C5">
        <w:rPr>
          <w:rFonts w:eastAsia="Arial Unicode MS"/>
          <w:bCs/>
          <w:sz w:val="24"/>
          <w:szCs w:val="24"/>
        </w:rPr>
        <w:t>The regression coefficient value X2 = 0,000 means that if other independent variables the value is fixed and</w:t>
      </w:r>
      <w:r w:rsidR="000604C5">
        <w:rPr>
          <w:rFonts w:eastAsia="Arial Unicode MS"/>
          <w:bCs/>
          <w:sz w:val="24"/>
          <w:szCs w:val="24"/>
        </w:rPr>
        <w:t xml:space="preserve"> </w:t>
      </w:r>
      <w:r w:rsidRPr="000604C5">
        <w:rPr>
          <w:rFonts w:eastAsia="Arial Unicode MS"/>
          <w:bCs/>
          <w:i/>
          <w:iCs/>
          <w:sz w:val="24"/>
          <w:szCs w:val="24"/>
        </w:rPr>
        <w:t xml:space="preserve">Debt </w:t>
      </w:r>
      <w:proofErr w:type="gramStart"/>
      <w:r w:rsidRPr="000604C5">
        <w:rPr>
          <w:rFonts w:eastAsia="Arial Unicode MS"/>
          <w:bCs/>
          <w:i/>
          <w:iCs/>
          <w:sz w:val="24"/>
          <w:szCs w:val="24"/>
        </w:rPr>
        <w:t>To</w:t>
      </w:r>
      <w:proofErr w:type="gramEnd"/>
      <w:r w:rsidRPr="000604C5">
        <w:rPr>
          <w:rFonts w:eastAsia="Arial Unicode MS"/>
          <w:bCs/>
          <w:i/>
          <w:iCs/>
          <w:sz w:val="24"/>
          <w:szCs w:val="24"/>
        </w:rPr>
        <w:t xml:space="preserve"> Equity Ratio </w:t>
      </w:r>
      <w:r w:rsidRPr="000604C5">
        <w:rPr>
          <w:rFonts w:eastAsia="Arial Unicode MS"/>
          <w:bCs/>
          <w:sz w:val="24"/>
          <w:szCs w:val="24"/>
        </w:rPr>
        <w:t xml:space="preserve">experience 1% then the share price (Y) will decrease by 0.000. The coefficient is </w:t>
      </w:r>
      <w:proofErr w:type="spellStart"/>
      <w:r w:rsidRPr="000604C5">
        <w:rPr>
          <w:rFonts w:eastAsia="Arial Unicode MS"/>
          <w:bCs/>
          <w:sz w:val="24"/>
          <w:szCs w:val="24"/>
        </w:rPr>
        <w:t>positive</w:t>
      </w:r>
      <w:proofErr w:type="gramStart"/>
      <w:r w:rsidRPr="000604C5">
        <w:rPr>
          <w:rFonts w:eastAsia="Arial Unicode MS"/>
          <w:bCs/>
          <w:sz w:val="24"/>
          <w:szCs w:val="24"/>
        </w:rPr>
        <w:t>,meaning</w:t>
      </w:r>
      <w:proofErr w:type="spellEnd"/>
      <w:proofErr w:type="gramEnd"/>
      <w:r w:rsidRPr="000604C5">
        <w:rPr>
          <w:rFonts w:eastAsia="Arial Unicode MS"/>
          <w:bCs/>
          <w:sz w:val="24"/>
          <w:szCs w:val="24"/>
        </w:rPr>
        <w:t xml:space="preserve"> that there is a positive relationship between </w:t>
      </w:r>
      <w:r w:rsidRPr="000604C5">
        <w:rPr>
          <w:rFonts w:eastAsia="Arial Unicode MS"/>
          <w:bCs/>
          <w:i/>
          <w:iCs/>
          <w:sz w:val="24"/>
          <w:szCs w:val="24"/>
        </w:rPr>
        <w:t>Return On Equity (</w:t>
      </w:r>
      <w:r w:rsidRPr="000604C5">
        <w:rPr>
          <w:rFonts w:eastAsia="Arial Unicode MS"/>
          <w:bCs/>
          <w:sz w:val="24"/>
          <w:szCs w:val="24"/>
        </w:rPr>
        <w:t xml:space="preserve"> stock price). Getting up </w:t>
      </w:r>
      <w:r w:rsidRPr="000604C5">
        <w:rPr>
          <w:rFonts w:eastAsia="Arial Unicode MS"/>
          <w:bCs/>
          <w:i/>
          <w:iCs/>
          <w:sz w:val="24"/>
          <w:szCs w:val="24"/>
        </w:rPr>
        <w:t xml:space="preserve">Debt </w:t>
      </w:r>
      <w:proofErr w:type="gramStart"/>
      <w:r w:rsidRPr="000604C5">
        <w:rPr>
          <w:rFonts w:eastAsia="Arial Unicode MS"/>
          <w:bCs/>
          <w:i/>
          <w:iCs/>
          <w:sz w:val="24"/>
          <w:szCs w:val="24"/>
        </w:rPr>
        <w:t>To</w:t>
      </w:r>
      <w:proofErr w:type="gramEnd"/>
      <w:r w:rsidRPr="000604C5">
        <w:rPr>
          <w:rFonts w:eastAsia="Arial Unicode MS"/>
          <w:bCs/>
          <w:i/>
          <w:iCs/>
          <w:sz w:val="24"/>
          <w:szCs w:val="24"/>
        </w:rPr>
        <w:t xml:space="preserve"> </w:t>
      </w:r>
      <w:proofErr w:type="spellStart"/>
      <w:r w:rsidRPr="000604C5">
        <w:rPr>
          <w:rFonts w:eastAsia="Arial Unicode MS"/>
          <w:bCs/>
          <w:i/>
          <w:iCs/>
          <w:sz w:val="24"/>
          <w:szCs w:val="24"/>
        </w:rPr>
        <w:t>EquityRatio</w:t>
      </w:r>
      <w:proofErr w:type="spellEnd"/>
      <w:r w:rsidRPr="000604C5">
        <w:rPr>
          <w:rFonts w:eastAsia="Arial Unicode MS"/>
          <w:bCs/>
          <w:i/>
          <w:iCs/>
          <w:sz w:val="24"/>
          <w:szCs w:val="24"/>
        </w:rPr>
        <w:t xml:space="preserve"> </w:t>
      </w:r>
      <w:r w:rsidRPr="000604C5">
        <w:rPr>
          <w:rFonts w:eastAsia="Arial Unicode MS"/>
          <w:bCs/>
          <w:sz w:val="24"/>
          <w:szCs w:val="24"/>
        </w:rPr>
        <w:t xml:space="preserve">hence the stock increases. </w:t>
      </w:r>
    </w:p>
    <w:p w:rsidR="00000088" w:rsidRPr="000604C5" w:rsidRDefault="00000088" w:rsidP="000604C5">
      <w:pPr>
        <w:pStyle w:val="ListParagraph"/>
        <w:numPr>
          <w:ilvl w:val="0"/>
          <w:numId w:val="5"/>
        </w:numPr>
        <w:tabs>
          <w:tab w:val="left" w:pos="420"/>
        </w:tabs>
        <w:jc w:val="both"/>
        <w:rPr>
          <w:rFonts w:eastAsia="Arial Unicode MS"/>
          <w:bCs/>
          <w:sz w:val="24"/>
          <w:szCs w:val="24"/>
        </w:rPr>
      </w:pPr>
      <w:r w:rsidRPr="000604C5">
        <w:rPr>
          <w:rFonts w:eastAsia="Arial Unicode MS"/>
          <w:bCs/>
          <w:sz w:val="24"/>
          <w:szCs w:val="24"/>
        </w:rPr>
        <w:t>The regression coefficient value X3 = 0.235 means that if other independent</w:t>
      </w:r>
      <w:r w:rsidR="000604C5" w:rsidRPr="000604C5">
        <w:rPr>
          <w:rFonts w:eastAsia="Arial Unicode MS"/>
          <w:bCs/>
          <w:sz w:val="24"/>
          <w:szCs w:val="24"/>
        </w:rPr>
        <w:t xml:space="preserve"> </w:t>
      </w:r>
      <w:r w:rsidRPr="000604C5">
        <w:rPr>
          <w:rFonts w:eastAsia="Arial Unicode MS"/>
          <w:bCs/>
          <w:sz w:val="24"/>
          <w:szCs w:val="24"/>
        </w:rPr>
        <w:t>variables the value is fixed and</w:t>
      </w:r>
      <w:r w:rsidR="000604C5" w:rsidRPr="000604C5">
        <w:rPr>
          <w:rFonts w:eastAsia="Arial Unicode MS"/>
          <w:bCs/>
          <w:sz w:val="24"/>
          <w:szCs w:val="24"/>
        </w:rPr>
        <w:t xml:space="preserve"> </w:t>
      </w:r>
      <w:r w:rsidRPr="000604C5">
        <w:rPr>
          <w:rFonts w:eastAsia="Arial Unicode MS"/>
          <w:bCs/>
          <w:i/>
          <w:iCs/>
          <w:sz w:val="24"/>
          <w:szCs w:val="24"/>
        </w:rPr>
        <w:t xml:space="preserve">Total Asset Turnover </w:t>
      </w:r>
      <w:r w:rsidRPr="000604C5">
        <w:rPr>
          <w:rFonts w:eastAsia="Arial Unicode MS"/>
          <w:bCs/>
          <w:sz w:val="24"/>
          <w:szCs w:val="24"/>
        </w:rPr>
        <w:t xml:space="preserve">experience 1% then the stock price (Y) will decrease by 0.235. The coefficient </w:t>
      </w:r>
      <w:proofErr w:type="spellStart"/>
      <w:r w:rsidRPr="000604C5">
        <w:rPr>
          <w:rFonts w:eastAsia="Arial Unicode MS"/>
          <w:bCs/>
          <w:sz w:val="24"/>
          <w:szCs w:val="24"/>
        </w:rPr>
        <w:t>ispositive</w:t>
      </w:r>
      <w:proofErr w:type="spellEnd"/>
      <w:r w:rsidRPr="000604C5">
        <w:rPr>
          <w:rFonts w:eastAsia="Arial Unicode MS"/>
          <w:bCs/>
          <w:sz w:val="24"/>
          <w:szCs w:val="24"/>
        </w:rPr>
        <w:t>, meaning that t</w:t>
      </w:r>
      <w:r w:rsidR="000604C5">
        <w:rPr>
          <w:rFonts w:eastAsia="Arial Unicode MS"/>
          <w:bCs/>
          <w:sz w:val="24"/>
          <w:szCs w:val="24"/>
        </w:rPr>
        <w:t xml:space="preserve">here is a positive relationship </w:t>
      </w:r>
      <w:r w:rsidRPr="000604C5">
        <w:rPr>
          <w:rFonts w:eastAsia="Arial Unicode MS"/>
          <w:bCs/>
          <w:sz w:val="24"/>
          <w:szCs w:val="24"/>
        </w:rPr>
        <w:t xml:space="preserve">between </w:t>
      </w:r>
      <w:r w:rsidRPr="000604C5">
        <w:rPr>
          <w:rFonts w:eastAsia="Arial Unicode MS"/>
          <w:bCs/>
          <w:i/>
          <w:iCs/>
          <w:sz w:val="24"/>
          <w:szCs w:val="24"/>
        </w:rPr>
        <w:t xml:space="preserve">Return On Equity </w:t>
      </w:r>
      <w:proofErr w:type="gramStart"/>
      <w:r w:rsidRPr="000604C5">
        <w:rPr>
          <w:rFonts w:eastAsia="Arial Unicode MS"/>
          <w:bCs/>
          <w:i/>
          <w:iCs/>
          <w:sz w:val="24"/>
          <w:szCs w:val="24"/>
        </w:rPr>
        <w:t>(</w:t>
      </w:r>
      <w:r w:rsidRPr="000604C5">
        <w:rPr>
          <w:rFonts w:eastAsia="Arial Unicode MS"/>
          <w:bCs/>
          <w:sz w:val="24"/>
          <w:szCs w:val="24"/>
        </w:rPr>
        <w:t xml:space="preserve"> stock</w:t>
      </w:r>
      <w:proofErr w:type="gramEnd"/>
      <w:r w:rsidRPr="000604C5">
        <w:rPr>
          <w:rFonts w:eastAsia="Arial Unicode MS"/>
          <w:bCs/>
          <w:sz w:val="24"/>
          <w:szCs w:val="24"/>
        </w:rPr>
        <w:t xml:space="preserve"> price). Getting up </w:t>
      </w:r>
      <w:proofErr w:type="spellStart"/>
      <w:r w:rsidRPr="000604C5">
        <w:rPr>
          <w:rFonts w:eastAsia="Arial Unicode MS"/>
          <w:bCs/>
          <w:i/>
          <w:iCs/>
          <w:sz w:val="24"/>
          <w:szCs w:val="24"/>
        </w:rPr>
        <w:t>TotalAsset</w:t>
      </w:r>
      <w:proofErr w:type="spellEnd"/>
      <w:r w:rsidRPr="000604C5">
        <w:rPr>
          <w:rFonts w:eastAsia="Arial Unicode MS"/>
          <w:bCs/>
          <w:i/>
          <w:iCs/>
          <w:sz w:val="24"/>
          <w:szCs w:val="24"/>
        </w:rPr>
        <w:t xml:space="preserve"> Turnover </w:t>
      </w:r>
      <w:r w:rsidRPr="000604C5">
        <w:rPr>
          <w:rFonts w:eastAsia="Arial Unicode MS"/>
          <w:bCs/>
          <w:sz w:val="24"/>
          <w:szCs w:val="24"/>
        </w:rPr>
        <w:t>hence the stock increases.</w:t>
      </w:r>
    </w:p>
    <w:p w:rsidR="00000088" w:rsidRPr="00B5003E" w:rsidRDefault="00000088" w:rsidP="00000088">
      <w:pPr>
        <w:rPr>
          <w:sz w:val="24"/>
          <w:szCs w:val="24"/>
        </w:rPr>
      </w:pPr>
    </w:p>
    <w:p w:rsidR="000604C5" w:rsidRDefault="000604C5" w:rsidP="00000088">
      <w:pPr>
        <w:rPr>
          <w:rFonts w:eastAsia="Arial Unicode MS"/>
          <w:b/>
          <w:bCs/>
          <w:sz w:val="24"/>
          <w:szCs w:val="24"/>
        </w:rPr>
      </w:pPr>
    </w:p>
    <w:p w:rsidR="00000088" w:rsidRPr="000604C5" w:rsidRDefault="00000088" w:rsidP="000604C5">
      <w:pPr>
        <w:rPr>
          <w:b/>
          <w:sz w:val="24"/>
          <w:szCs w:val="24"/>
        </w:rPr>
      </w:pPr>
      <w:r w:rsidRPr="00B5003E">
        <w:rPr>
          <w:rFonts w:eastAsia="Arial Unicode MS"/>
          <w:b/>
          <w:bCs/>
          <w:sz w:val="24"/>
          <w:szCs w:val="24"/>
        </w:rPr>
        <w:t>HYPOTHESIS TEST</w:t>
      </w:r>
    </w:p>
    <w:p w:rsidR="00000088" w:rsidRPr="00B5003E" w:rsidRDefault="00000088" w:rsidP="00000088">
      <w:pPr>
        <w:rPr>
          <w:sz w:val="24"/>
          <w:szCs w:val="24"/>
        </w:rPr>
      </w:pPr>
      <w:r w:rsidRPr="00B5003E">
        <w:rPr>
          <w:rFonts w:eastAsia="Arial Unicode MS"/>
          <w:b/>
          <w:bCs/>
          <w:sz w:val="24"/>
          <w:szCs w:val="24"/>
        </w:rPr>
        <w:t>T test (Partially)</w:t>
      </w:r>
    </w:p>
    <w:p w:rsidR="00000088" w:rsidRPr="00B5003E" w:rsidRDefault="00000088" w:rsidP="00000088">
      <w:pPr>
        <w:ind w:right="1560"/>
        <w:rPr>
          <w:sz w:val="24"/>
          <w:szCs w:val="24"/>
        </w:rPr>
      </w:pPr>
      <w:r w:rsidRPr="00B5003E">
        <w:rPr>
          <w:rFonts w:eastAsia="Arial Unicode MS"/>
          <w:bCs/>
          <w:sz w:val="24"/>
          <w:szCs w:val="24"/>
        </w:rPr>
        <w:t>The purpose of the t test is to see whether there is a significant relationship or not in the relationship between variable X 1 X 2 and X 3 against Y 1</w:t>
      </w:r>
    </w:p>
    <w:p w:rsidR="00000088" w:rsidRPr="00B5003E" w:rsidRDefault="00000088" w:rsidP="00000088">
      <w:pPr>
        <w:rPr>
          <w:sz w:val="24"/>
          <w:szCs w:val="24"/>
        </w:rPr>
      </w:pPr>
    </w:p>
    <w:p w:rsidR="00000088" w:rsidRPr="000604C5" w:rsidRDefault="00000088" w:rsidP="000604C5">
      <w:pPr>
        <w:ind w:left="3900"/>
        <w:rPr>
          <w:rFonts w:eastAsia="Arial Unicode MS"/>
          <w:bCs/>
          <w:sz w:val="24"/>
          <w:szCs w:val="24"/>
        </w:rPr>
      </w:pPr>
      <w:proofErr w:type="gramStart"/>
      <w:r w:rsidRPr="00B5003E">
        <w:rPr>
          <w:rFonts w:eastAsia="Arial Unicode MS"/>
          <w:bCs/>
          <w:sz w:val="24"/>
          <w:szCs w:val="24"/>
        </w:rPr>
        <w:t>Table 3.</w:t>
      </w:r>
      <w:proofErr w:type="gramEnd"/>
      <w:r w:rsidRPr="00B5003E">
        <w:rPr>
          <w:rFonts w:eastAsia="Arial Unicode MS"/>
          <w:bCs/>
          <w:sz w:val="24"/>
          <w:szCs w:val="24"/>
        </w:rPr>
        <w:t xml:space="preserve"> </w:t>
      </w:r>
      <w:proofErr w:type="gramStart"/>
      <w:r w:rsidRPr="00B5003E">
        <w:rPr>
          <w:rFonts w:eastAsia="Arial Unicode MS"/>
          <w:bCs/>
          <w:sz w:val="24"/>
          <w:szCs w:val="24"/>
        </w:rPr>
        <w:t>t</w:t>
      </w:r>
      <w:proofErr w:type="gramEnd"/>
      <w:r w:rsidRPr="00B5003E">
        <w:rPr>
          <w:rFonts w:eastAsia="Arial Unicode MS"/>
          <w:bCs/>
          <w:sz w:val="24"/>
          <w:szCs w:val="24"/>
        </w:rPr>
        <w:t xml:space="preserve"> test results</w:t>
      </w:r>
    </w:p>
    <w:tbl>
      <w:tblPr>
        <w:tblpPr w:leftFromText="180" w:rightFromText="180" w:bottomFromText="160" w:vertAnchor="text" w:horzAnchor="margin" w:tblpY="116"/>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07"/>
        <w:gridCol w:w="1318"/>
        <w:gridCol w:w="1559"/>
        <w:gridCol w:w="1418"/>
        <w:gridCol w:w="1540"/>
        <w:gridCol w:w="1275"/>
        <w:gridCol w:w="993"/>
      </w:tblGrid>
      <w:tr w:rsidR="000604C5" w:rsidRPr="00793600" w:rsidTr="00543A75">
        <w:trPr>
          <w:cantSplit/>
          <w:tblHeader/>
        </w:trPr>
        <w:tc>
          <w:tcPr>
            <w:tcW w:w="2125"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0604C5" w:rsidRPr="00793600" w:rsidRDefault="000604C5" w:rsidP="00543A75">
            <w:pPr>
              <w:spacing w:line="320" w:lineRule="atLeast"/>
              <w:rPr>
                <w:rFonts w:eastAsia="Times New Roman"/>
                <w:sz w:val="24"/>
                <w:szCs w:val="24"/>
              </w:rPr>
            </w:pPr>
            <w:r w:rsidRPr="00793600">
              <w:rPr>
                <w:sz w:val="24"/>
                <w:szCs w:val="24"/>
              </w:rPr>
              <w:t>Model</w:t>
            </w:r>
          </w:p>
        </w:tc>
        <w:tc>
          <w:tcPr>
            <w:tcW w:w="2977"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0604C5" w:rsidRPr="00793600" w:rsidRDefault="000604C5" w:rsidP="00543A75">
            <w:pPr>
              <w:spacing w:line="320" w:lineRule="atLeast"/>
              <w:jc w:val="center"/>
              <w:rPr>
                <w:sz w:val="24"/>
                <w:szCs w:val="24"/>
              </w:rPr>
            </w:pPr>
            <w:proofErr w:type="spellStart"/>
            <w:r w:rsidRPr="00793600">
              <w:rPr>
                <w:sz w:val="24"/>
                <w:szCs w:val="24"/>
              </w:rPr>
              <w:t>Unstandardized</w:t>
            </w:r>
            <w:proofErr w:type="spellEnd"/>
            <w:r w:rsidRPr="00793600">
              <w:rPr>
                <w:sz w:val="24"/>
                <w:szCs w:val="24"/>
              </w:rPr>
              <w:t xml:space="preserve"> Coefficients</w:t>
            </w:r>
          </w:p>
        </w:tc>
        <w:tc>
          <w:tcPr>
            <w:tcW w:w="1540"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0604C5" w:rsidRPr="00793600" w:rsidRDefault="000604C5" w:rsidP="00543A75">
            <w:pPr>
              <w:spacing w:line="320" w:lineRule="atLeast"/>
              <w:jc w:val="center"/>
              <w:rPr>
                <w:sz w:val="24"/>
                <w:szCs w:val="24"/>
              </w:rPr>
            </w:pPr>
            <w:r w:rsidRPr="00793600">
              <w:rPr>
                <w:sz w:val="24"/>
                <w:szCs w:val="24"/>
              </w:rPr>
              <w:t>Standardized Coefficients</w:t>
            </w:r>
          </w:p>
        </w:tc>
        <w:tc>
          <w:tcPr>
            <w:tcW w:w="1275"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0604C5" w:rsidRPr="00793600" w:rsidRDefault="000604C5" w:rsidP="00543A75">
            <w:pPr>
              <w:spacing w:line="320" w:lineRule="atLeast"/>
              <w:jc w:val="center"/>
              <w:rPr>
                <w:sz w:val="24"/>
                <w:szCs w:val="24"/>
              </w:rPr>
            </w:pPr>
            <w:r w:rsidRPr="00793600">
              <w:rPr>
                <w:sz w:val="24"/>
                <w:szCs w:val="24"/>
              </w:rPr>
              <w:t>T</w:t>
            </w:r>
          </w:p>
        </w:tc>
        <w:tc>
          <w:tcPr>
            <w:tcW w:w="993"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0604C5" w:rsidRPr="00793600" w:rsidRDefault="000604C5" w:rsidP="00543A75">
            <w:pPr>
              <w:spacing w:line="320" w:lineRule="atLeast"/>
              <w:jc w:val="center"/>
              <w:rPr>
                <w:sz w:val="24"/>
                <w:szCs w:val="24"/>
              </w:rPr>
            </w:pPr>
            <w:r w:rsidRPr="00793600">
              <w:rPr>
                <w:sz w:val="24"/>
                <w:szCs w:val="24"/>
              </w:rPr>
              <w:t>Sig.</w:t>
            </w:r>
          </w:p>
        </w:tc>
      </w:tr>
      <w:tr w:rsidR="000604C5" w:rsidRPr="00793600" w:rsidTr="00543A75">
        <w:trPr>
          <w:cantSplit/>
          <w:tblHeader/>
        </w:trPr>
        <w:tc>
          <w:tcPr>
            <w:tcW w:w="2125"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0604C5" w:rsidRPr="00793600" w:rsidRDefault="000604C5" w:rsidP="00543A75">
            <w:pPr>
              <w:spacing w:line="256" w:lineRule="auto"/>
              <w:rPr>
                <w:rFonts w:eastAsia="Times New Roman"/>
                <w:sz w:val="24"/>
                <w:szCs w:val="24"/>
              </w:rPr>
            </w:pPr>
          </w:p>
        </w:tc>
        <w:tc>
          <w:tcPr>
            <w:tcW w:w="1559"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0604C5" w:rsidRPr="00793600" w:rsidRDefault="000604C5" w:rsidP="00543A75">
            <w:pPr>
              <w:spacing w:line="320" w:lineRule="atLeast"/>
              <w:jc w:val="center"/>
              <w:rPr>
                <w:sz w:val="24"/>
                <w:szCs w:val="24"/>
              </w:rPr>
            </w:pPr>
            <w:r w:rsidRPr="00793600">
              <w:rPr>
                <w:sz w:val="24"/>
                <w:szCs w:val="24"/>
              </w:rPr>
              <w:t>B</w:t>
            </w:r>
          </w:p>
        </w:tc>
        <w:tc>
          <w:tcPr>
            <w:tcW w:w="141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0604C5" w:rsidRPr="00793600" w:rsidRDefault="000604C5" w:rsidP="00543A75">
            <w:pPr>
              <w:spacing w:line="320" w:lineRule="atLeast"/>
              <w:jc w:val="center"/>
              <w:rPr>
                <w:sz w:val="24"/>
                <w:szCs w:val="24"/>
              </w:rPr>
            </w:pPr>
            <w:r w:rsidRPr="00793600">
              <w:rPr>
                <w:sz w:val="24"/>
                <w:szCs w:val="24"/>
              </w:rPr>
              <w:t>Std. Error</w:t>
            </w:r>
          </w:p>
        </w:tc>
        <w:tc>
          <w:tcPr>
            <w:tcW w:w="1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0604C5" w:rsidRPr="00793600" w:rsidRDefault="000604C5" w:rsidP="00543A75">
            <w:pPr>
              <w:spacing w:line="320" w:lineRule="atLeast"/>
              <w:jc w:val="center"/>
              <w:rPr>
                <w:sz w:val="24"/>
                <w:szCs w:val="24"/>
              </w:rPr>
            </w:pPr>
            <w:r w:rsidRPr="00793600">
              <w:rPr>
                <w:sz w:val="24"/>
                <w:szCs w:val="24"/>
              </w:rPr>
              <w:t>Beta</w:t>
            </w:r>
          </w:p>
        </w:tc>
        <w:tc>
          <w:tcPr>
            <w:tcW w:w="1275" w:type="dxa"/>
            <w:vMerge/>
            <w:tcBorders>
              <w:top w:val="single" w:sz="18" w:space="0" w:color="000000"/>
              <w:left w:val="single" w:sz="8" w:space="0" w:color="000000"/>
              <w:bottom w:val="single" w:sz="18" w:space="0" w:color="000000"/>
              <w:right w:val="single" w:sz="8" w:space="0" w:color="000000"/>
            </w:tcBorders>
            <w:vAlign w:val="center"/>
            <w:hideMark/>
          </w:tcPr>
          <w:p w:rsidR="000604C5" w:rsidRPr="00793600" w:rsidRDefault="000604C5" w:rsidP="00543A75">
            <w:pPr>
              <w:spacing w:line="256" w:lineRule="auto"/>
              <w:rPr>
                <w:rFonts w:eastAsia="Times New Roman"/>
                <w:sz w:val="24"/>
                <w:szCs w:val="24"/>
              </w:rPr>
            </w:pPr>
          </w:p>
        </w:tc>
        <w:tc>
          <w:tcPr>
            <w:tcW w:w="993" w:type="dxa"/>
            <w:vMerge/>
            <w:tcBorders>
              <w:top w:val="single" w:sz="18" w:space="0" w:color="000000"/>
              <w:left w:val="single" w:sz="8" w:space="0" w:color="000000"/>
              <w:bottom w:val="single" w:sz="18" w:space="0" w:color="000000"/>
              <w:right w:val="single" w:sz="8" w:space="0" w:color="000000"/>
            </w:tcBorders>
            <w:vAlign w:val="center"/>
            <w:hideMark/>
          </w:tcPr>
          <w:p w:rsidR="000604C5" w:rsidRPr="00793600" w:rsidRDefault="000604C5" w:rsidP="00543A75">
            <w:pPr>
              <w:spacing w:line="256" w:lineRule="auto"/>
              <w:rPr>
                <w:rFonts w:eastAsia="Times New Roman"/>
                <w:sz w:val="24"/>
                <w:szCs w:val="24"/>
              </w:rPr>
            </w:pPr>
          </w:p>
        </w:tc>
      </w:tr>
      <w:tr w:rsidR="000604C5" w:rsidRPr="00793600" w:rsidTr="00543A75">
        <w:trPr>
          <w:cantSplit/>
          <w:tblHeader/>
        </w:trPr>
        <w:tc>
          <w:tcPr>
            <w:tcW w:w="807"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0604C5" w:rsidRPr="00793600" w:rsidRDefault="00782F76" w:rsidP="00543A75">
            <w:pPr>
              <w:spacing w:line="320" w:lineRule="atLeast"/>
              <w:rPr>
                <w:sz w:val="24"/>
                <w:szCs w:val="24"/>
              </w:rPr>
            </w:pPr>
            <w:r>
              <w:rPr>
                <w:sz w:val="24"/>
                <w:szCs w:val="24"/>
              </w:rPr>
              <w:t xml:space="preserve"> </w:t>
            </w:r>
            <w:r w:rsidR="000604C5" w:rsidRPr="00793600">
              <w:rPr>
                <w:sz w:val="24"/>
                <w:szCs w:val="24"/>
              </w:rPr>
              <w:t>1</w:t>
            </w:r>
          </w:p>
        </w:tc>
        <w:tc>
          <w:tcPr>
            <w:tcW w:w="131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0604C5" w:rsidRPr="00793600" w:rsidRDefault="000604C5" w:rsidP="00543A75">
            <w:pPr>
              <w:spacing w:line="320" w:lineRule="atLeast"/>
              <w:rPr>
                <w:sz w:val="24"/>
                <w:szCs w:val="24"/>
              </w:rPr>
            </w:pPr>
            <w:r w:rsidRPr="00793600">
              <w:rPr>
                <w:sz w:val="24"/>
                <w:szCs w:val="24"/>
              </w:rPr>
              <w:t>(Constant)</w:t>
            </w:r>
          </w:p>
        </w:tc>
        <w:tc>
          <w:tcPr>
            <w:tcW w:w="155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.038</w:t>
            </w:r>
          </w:p>
        </w:tc>
        <w:tc>
          <w:tcPr>
            <w:tcW w:w="141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.063</w:t>
            </w:r>
          </w:p>
        </w:tc>
        <w:tc>
          <w:tcPr>
            <w:tcW w:w="1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0604C5" w:rsidRPr="00793600" w:rsidRDefault="000604C5" w:rsidP="00543A75">
            <w:pPr>
              <w:spacing w:line="256" w:lineRule="auto"/>
              <w:rPr>
                <w:sz w:val="24"/>
                <w:szCs w:val="24"/>
              </w:rPr>
            </w:pPr>
          </w:p>
        </w:tc>
        <w:tc>
          <w:tcPr>
            <w:tcW w:w="127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.612</w:t>
            </w:r>
          </w:p>
        </w:tc>
        <w:tc>
          <w:tcPr>
            <w:tcW w:w="99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.545</w:t>
            </w:r>
          </w:p>
        </w:tc>
      </w:tr>
      <w:tr w:rsidR="000604C5" w:rsidRPr="00793600" w:rsidTr="00543A75">
        <w:trPr>
          <w:cantSplit/>
          <w:tblHeader/>
        </w:trPr>
        <w:tc>
          <w:tcPr>
            <w:tcW w:w="807" w:type="dxa"/>
            <w:vMerge/>
            <w:tcBorders>
              <w:top w:val="single" w:sz="18" w:space="0" w:color="000000"/>
              <w:left w:val="single" w:sz="18" w:space="0" w:color="000000"/>
              <w:bottom w:val="single" w:sz="18" w:space="0" w:color="000000"/>
              <w:right w:val="nil"/>
            </w:tcBorders>
            <w:vAlign w:val="center"/>
            <w:hideMark/>
          </w:tcPr>
          <w:p w:rsidR="000604C5" w:rsidRPr="00793600" w:rsidRDefault="000604C5" w:rsidP="00543A75">
            <w:pPr>
              <w:spacing w:line="256" w:lineRule="auto"/>
              <w:rPr>
                <w:rFonts w:eastAsia="Times New Roman"/>
                <w:sz w:val="24"/>
                <w:szCs w:val="24"/>
              </w:rPr>
            </w:pPr>
          </w:p>
        </w:tc>
        <w:tc>
          <w:tcPr>
            <w:tcW w:w="13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0604C5" w:rsidRPr="00793600" w:rsidRDefault="000604C5" w:rsidP="00543A75">
            <w:pPr>
              <w:spacing w:line="320" w:lineRule="atLeast"/>
              <w:rPr>
                <w:sz w:val="24"/>
                <w:szCs w:val="24"/>
              </w:rPr>
            </w:pPr>
            <w:r w:rsidRPr="00793600">
              <w:rPr>
                <w:sz w:val="24"/>
                <w:szCs w:val="24"/>
              </w:rPr>
              <w:t>CR</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-7.246</w:t>
            </w:r>
          </w:p>
        </w:tc>
        <w:tc>
          <w:tcPr>
            <w:tcW w:w="14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.000</w:t>
            </w:r>
          </w:p>
        </w:tc>
        <w:tc>
          <w:tcPr>
            <w:tcW w:w="1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-.084</w:t>
            </w:r>
          </w:p>
        </w:tc>
        <w:tc>
          <w:tcPr>
            <w:tcW w:w="127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-.514</w:t>
            </w:r>
          </w:p>
        </w:tc>
        <w:tc>
          <w:tcPr>
            <w:tcW w:w="9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.611</w:t>
            </w:r>
          </w:p>
        </w:tc>
      </w:tr>
      <w:tr w:rsidR="000604C5" w:rsidRPr="00793600" w:rsidTr="00543A75">
        <w:trPr>
          <w:cantSplit/>
          <w:tblHeader/>
        </w:trPr>
        <w:tc>
          <w:tcPr>
            <w:tcW w:w="807" w:type="dxa"/>
            <w:vMerge/>
            <w:tcBorders>
              <w:top w:val="single" w:sz="18" w:space="0" w:color="000000"/>
              <w:left w:val="single" w:sz="18" w:space="0" w:color="000000"/>
              <w:bottom w:val="single" w:sz="18" w:space="0" w:color="000000"/>
              <w:right w:val="nil"/>
            </w:tcBorders>
            <w:vAlign w:val="center"/>
            <w:hideMark/>
          </w:tcPr>
          <w:p w:rsidR="000604C5" w:rsidRPr="00793600" w:rsidRDefault="000604C5" w:rsidP="00543A75">
            <w:pPr>
              <w:spacing w:line="256" w:lineRule="auto"/>
              <w:rPr>
                <w:rFonts w:eastAsia="Times New Roman"/>
                <w:sz w:val="24"/>
                <w:szCs w:val="24"/>
              </w:rPr>
            </w:pPr>
          </w:p>
        </w:tc>
        <w:tc>
          <w:tcPr>
            <w:tcW w:w="13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0604C5" w:rsidRPr="00793600" w:rsidRDefault="000604C5" w:rsidP="00543A75">
            <w:pPr>
              <w:spacing w:line="320" w:lineRule="atLeast"/>
              <w:rPr>
                <w:sz w:val="24"/>
                <w:szCs w:val="24"/>
              </w:rPr>
            </w:pPr>
            <w:r w:rsidRPr="00793600">
              <w:rPr>
                <w:sz w:val="24"/>
                <w:szCs w:val="24"/>
              </w:rPr>
              <w:t>DER</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.000</w:t>
            </w:r>
          </w:p>
        </w:tc>
        <w:tc>
          <w:tcPr>
            <w:tcW w:w="14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.000</w:t>
            </w:r>
          </w:p>
        </w:tc>
        <w:tc>
          <w:tcPr>
            <w:tcW w:w="1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-.192</w:t>
            </w:r>
          </w:p>
        </w:tc>
        <w:tc>
          <w:tcPr>
            <w:tcW w:w="127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-1.160</w:t>
            </w:r>
          </w:p>
        </w:tc>
        <w:tc>
          <w:tcPr>
            <w:tcW w:w="9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.255</w:t>
            </w:r>
          </w:p>
        </w:tc>
      </w:tr>
      <w:tr w:rsidR="000604C5" w:rsidRPr="00793600" w:rsidTr="00543A75">
        <w:trPr>
          <w:cantSplit/>
          <w:tblHeader/>
        </w:trPr>
        <w:tc>
          <w:tcPr>
            <w:tcW w:w="807" w:type="dxa"/>
            <w:vMerge/>
            <w:tcBorders>
              <w:top w:val="single" w:sz="18" w:space="0" w:color="000000"/>
              <w:left w:val="single" w:sz="18" w:space="0" w:color="000000"/>
              <w:bottom w:val="single" w:sz="18" w:space="0" w:color="000000"/>
              <w:right w:val="nil"/>
            </w:tcBorders>
            <w:vAlign w:val="center"/>
            <w:hideMark/>
          </w:tcPr>
          <w:p w:rsidR="000604C5" w:rsidRPr="00793600" w:rsidRDefault="000604C5" w:rsidP="00543A75">
            <w:pPr>
              <w:spacing w:line="256" w:lineRule="auto"/>
              <w:rPr>
                <w:rFonts w:eastAsia="Times New Roman"/>
                <w:sz w:val="24"/>
                <w:szCs w:val="24"/>
              </w:rPr>
            </w:pPr>
          </w:p>
        </w:tc>
        <w:tc>
          <w:tcPr>
            <w:tcW w:w="131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0604C5" w:rsidRPr="00793600" w:rsidRDefault="000604C5" w:rsidP="00543A75">
            <w:pPr>
              <w:spacing w:line="320" w:lineRule="atLeast"/>
              <w:rPr>
                <w:sz w:val="24"/>
                <w:szCs w:val="24"/>
              </w:rPr>
            </w:pPr>
            <w:r w:rsidRPr="00793600">
              <w:rPr>
                <w:sz w:val="24"/>
                <w:szCs w:val="24"/>
              </w:rPr>
              <w:t>TATO</w:t>
            </w:r>
          </w:p>
        </w:tc>
        <w:tc>
          <w:tcPr>
            <w:tcW w:w="155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.235</w:t>
            </w:r>
          </w:p>
        </w:tc>
        <w:tc>
          <w:tcPr>
            <w:tcW w:w="141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.042</w:t>
            </w:r>
          </w:p>
        </w:tc>
        <w:tc>
          <w:tcPr>
            <w:tcW w:w="1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.711</w:t>
            </w:r>
          </w:p>
        </w:tc>
        <w:tc>
          <w:tcPr>
            <w:tcW w:w="127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5.568</w:t>
            </w:r>
          </w:p>
        </w:tc>
        <w:tc>
          <w:tcPr>
            <w:tcW w:w="99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0604C5" w:rsidRPr="00793600" w:rsidRDefault="000604C5" w:rsidP="00543A75">
            <w:pPr>
              <w:spacing w:line="320" w:lineRule="atLeast"/>
              <w:jc w:val="right"/>
              <w:rPr>
                <w:sz w:val="24"/>
                <w:szCs w:val="24"/>
              </w:rPr>
            </w:pPr>
            <w:r w:rsidRPr="00793600">
              <w:rPr>
                <w:sz w:val="24"/>
                <w:szCs w:val="24"/>
              </w:rPr>
              <w:t>.000</w:t>
            </w:r>
          </w:p>
        </w:tc>
      </w:tr>
    </w:tbl>
    <w:p w:rsidR="000604C5" w:rsidRDefault="00000088" w:rsidP="000604C5">
      <w:pPr>
        <w:rPr>
          <w:b/>
          <w:color w:val="000000" w:themeColor="text1"/>
          <w:sz w:val="24"/>
          <w:szCs w:val="24"/>
        </w:rPr>
      </w:pPr>
      <w:r w:rsidRPr="000604C5">
        <w:rPr>
          <w:rFonts w:eastAsia="Arial Unicode MS"/>
          <w:b/>
          <w:bCs/>
          <w:color w:val="000000" w:themeColor="text1"/>
          <w:sz w:val="24"/>
          <w:szCs w:val="24"/>
        </w:rPr>
        <w:lastRenderedPageBreak/>
        <w:t xml:space="preserve">Influence </w:t>
      </w:r>
      <w:r w:rsidRPr="000604C5">
        <w:rPr>
          <w:rFonts w:eastAsia="Arial Unicode MS"/>
          <w:b/>
          <w:bCs/>
          <w:i/>
          <w:iCs/>
          <w:color w:val="000000" w:themeColor="text1"/>
          <w:sz w:val="24"/>
          <w:szCs w:val="24"/>
        </w:rPr>
        <w:t xml:space="preserve">Current Ratio </w:t>
      </w:r>
      <w:r w:rsidRPr="00782F76">
        <w:rPr>
          <w:rFonts w:eastAsia="Arial Unicode MS"/>
          <w:b/>
          <w:bCs/>
          <w:iCs/>
          <w:color w:val="000000" w:themeColor="text1"/>
          <w:sz w:val="24"/>
          <w:szCs w:val="24"/>
        </w:rPr>
        <w:t>(</w:t>
      </w:r>
      <w:r w:rsidRPr="00782F76">
        <w:rPr>
          <w:rFonts w:eastAsia="Arial Unicode MS"/>
          <w:b/>
          <w:bCs/>
          <w:color w:val="000000" w:themeColor="text1"/>
          <w:sz w:val="24"/>
          <w:szCs w:val="24"/>
        </w:rPr>
        <w:t>CR</w:t>
      </w:r>
      <w:r w:rsidRPr="000604C5">
        <w:rPr>
          <w:rFonts w:eastAsia="Arial Unicode MS"/>
          <w:b/>
          <w:bCs/>
          <w:color w:val="000000" w:themeColor="text1"/>
          <w:sz w:val="24"/>
          <w:szCs w:val="24"/>
        </w:rPr>
        <w:t xml:space="preserve">) against </w:t>
      </w:r>
      <w:r w:rsidRPr="000604C5">
        <w:rPr>
          <w:rFonts w:eastAsia="Arial Unicode MS"/>
          <w:b/>
          <w:bCs/>
          <w:i/>
          <w:iCs/>
          <w:color w:val="000000" w:themeColor="text1"/>
          <w:sz w:val="24"/>
          <w:szCs w:val="24"/>
        </w:rPr>
        <w:t xml:space="preserve">Return </w:t>
      </w:r>
      <w:proofErr w:type="gramStart"/>
      <w:r w:rsidRPr="000604C5">
        <w:rPr>
          <w:rFonts w:eastAsia="Arial Unicode MS"/>
          <w:b/>
          <w:bCs/>
          <w:i/>
          <w:iCs/>
          <w:color w:val="000000" w:themeColor="text1"/>
          <w:sz w:val="24"/>
          <w:szCs w:val="24"/>
        </w:rPr>
        <w:t>On</w:t>
      </w:r>
      <w:proofErr w:type="gramEnd"/>
      <w:r w:rsidRPr="000604C5">
        <w:rPr>
          <w:rFonts w:eastAsia="Arial Unicode MS"/>
          <w:b/>
          <w:bCs/>
          <w:i/>
          <w:iCs/>
          <w:color w:val="000000" w:themeColor="text1"/>
          <w:sz w:val="24"/>
          <w:szCs w:val="24"/>
        </w:rPr>
        <w:t xml:space="preserve"> Equity </w:t>
      </w:r>
      <w:r w:rsidRPr="00782F76">
        <w:rPr>
          <w:rFonts w:eastAsia="Arial Unicode MS"/>
          <w:b/>
          <w:bCs/>
          <w:iCs/>
          <w:color w:val="000000" w:themeColor="text1"/>
          <w:sz w:val="24"/>
          <w:szCs w:val="24"/>
        </w:rPr>
        <w:t>(</w:t>
      </w:r>
      <w:r w:rsidRPr="000604C5">
        <w:rPr>
          <w:rFonts w:eastAsia="Arial Unicode MS"/>
          <w:b/>
          <w:bCs/>
          <w:color w:val="000000" w:themeColor="text1"/>
          <w:sz w:val="24"/>
          <w:szCs w:val="24"/>
        </w:rPr>
        <w:t>ROE)</w:t>
      </w:r>
    </w:p>
    <w:p w:rsidR="00782F76" w:rsidRDefault="00000088" w:rsidP="00782F76">
      <w:pPr>
        <w:ind w:firstLine="720"/>
        <w:jc w:val="both"/>
        <w:rPr>
          <w:sz w:val="24"/>
          <w:szCs w:val="24"/>
        </w:rPr>
      </w:pPr>
      <w:r w:rsidRPr="00B5003E">
        <w:rPr>
          <w:rFonts w:eastAsia="Arial Unicode MS"/>
          <w:bCs/>
          <w:sz w:val="24"/>
          <w:szCs w:val="24"/>
        </w:rPr>
        <w:t xml:space="preserve">Based on the partial test results between </w:t>
      </w:r>
      <w:r w:rsidRPr="00B5003E">
        <w:rPr>
          <w:rFonts w:eastAsia="Arial Unicode MS"/>
          <w:bCs/>
          <w:i/>
          <w:iCs/>
          <w:sz w:val="24"/>
          <w:szCs w:val="24"/>
        </w:rPr>
        <w:t xml:space="preserve">Current Ratio </w:t>
      </w:r>
      <w:r w:rsidRPr="00782F76">
        <w:rPr>
          <w:rFonts w:eastAsia="Arial Unicode MS"/>
          <w:bCs/>
          <w:iCs/>
          <w:sz w:val="24"/>
          <w:szCs w:val="24"/>
        </w:rPr>
        <w:t>(</w:t>
      </w:r>
      <w:r w:rsidRPr="00B5003E">
        <w:rPr>
          <w:rFonts w:eastAsia="Arial Unicode MS"/>
          <w:bCs/>
          <w:sz w:val="24"/>
          <w:szCs w:val="24"/>
        </w:rPr>
        <w:t xml:space="preserve">CR) against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000604C5">
        <w:rPr>
          <w:b/>
          <w:color w:val="000000" w:themeColor="text1"/>
          <w:sz w:val="24"/>
          <w:szCs w:val="24"/>
        </w:rPr>
        <w:t xml:space="preserve"> </w:t>
      </w:r>
      <w:r w:rsidRPr="00B5003E">
        <w:rPr>
          <w:rFonts w:eastAsia="Arial Unicode MS"/>
          <w:bCs/>
          <w:i/>
          <w:iCs/>
          <w:sz w:val="24"/>
          <w:szCs w:val="24"/>
        </w:rPr>
        <w:t>Equity</w:t>
      </w:r>
      <w:r w:rsidR="00782F76">
        <w:rPr>
          <w:rFonts w:eastAsia="Arial Unicode MS"/>
          <w:bCs/>
          <w:i/>
          <w:iCs/>
          <w:sz w:val="24"/>
          <w:szCs w:val="24"/>
        </w:rPr>
        <w:t xml:space="preserve">                             </w:t>
      </w:r>
      <w:r w:rsidRPr="00B5003E">
        <w:rPr>
          <w:rFonts w:eastAsia="Arial Unicode MS"/>
          <w:bCs/>
          <w:i/>
          <w:iCs/>
          <w:sz w:val="24"/>
          <w:szCs w:val="24"/>
        </w:rPr>
        <w:t xml:space="preserve"> </w:t>
      </w:r>
      <w:r w:rsidR="00782F76">
        <w:rPr>
          <w:rFonts w:eastAsia="Arial Unicode MS"/>
          <w:bCs/>
          <w:iCs/>
          <w:sz w:val="24"/>
          <w:szCs w:val="24"/>
        </w:rPr>
        <w:t>(</w:t>
      </w:r>
      <w:r w:rsidRPr="00B5003E">
        <w:rPr>
          <w:rFonts w:eastAsia="Arial Unicode MS"/>
          <w:bCs/>
          <w:sz w:val="24"/>
          <w:szCs w:val="24"/>
        </w:rPr>
        <w:t xml:space="preserve">ROE) obtained </w:t>
      </w:r>
      <w:proofErr w:type="spellStart"/>
      <w:r w:rsidRPr="00B5003E">
        <w:rPr>
          <w:rFonts w:eastAsia="Arial Unicode MS"/>
          <w:bCs/>
          <w:sz w:val="24"/>
          <w:szCs w:val="24"/>
        </w:rPr>
        <w:t>t</w:t>
      </w:r>
      <w:r w:rsidRPr="00782F76">
        <w:rPr>
          <w:rFonts w:eastAsia="Arial Unicode MS"/>
          <w:bCs/>
          <w:sz w:val="24"/>
          <w:szCs w:val="24"/>
          <w:vertAlign w:val="subscript"/>
        </w:rPr>
        <w:t>countis</w:t>
      </w:r>
      <w:proofErr w:type="spellEnd"/>
      <w:r w:rsidRPr="00B5003E">
        <w:rPr>
          <w:rFonts w:eastAsia="Arial Unicode MS"/>
          <w:bCs/>
          <w:sz w:val="24"/>
          <w:szCs w:val="24"/>
        </w:rPr>
        <w:t xml:space="preserve"> -0.514 and </w:t>
      </w:r>
      <w:proofErr w:type="spellStart"/>
      <w:r w:rsidRPr="00B5003E">
        <w:rPr>
          <w:rFonts w:eastAsia="Arial Unicode MS"/>
          <w:bCs/>
          <w:sz w:val="24"/>
          <w:szCs w:val="24"/>
        </w:rPr>
        <w:t>t</w:t>
      </w:r>
      <w:r w:rsidRPr="00782F76">
        <w:rPr>
          <w:rFonts w:eastAsia="Arial Unicode MS"/>
          <w:bCs/>
          <w:sz w:val="24"/>
          <w:szCs w:val="24"/>
          <w:vertAlign w:val="subscript"/>
        </w:rPr>
        <w:t>table</w:t>
      </w:r>
      <w:proofErr w:type="spellEnd"/>
      <w:r w:rsidR="00782F76">
        <w:rPr>
          <w:rFonts w:eastAsia="Arial Unicode MS"/>
          <w:bCs/>
          <w:sz w:val="24"/>
          <w:szCs w:val="24"/>
        </w:rPr>
        <w:t xml:space="preserve"> </w:t>
      </w:r>
      <w:r w:rsidRPr="00B5003E">
        <w:rPr>
          <w:rFonts w:eastAsia="Arial Unicode MS"/>
          <w:bCs/>
          <w:sz w:val="24"/>
          <w:szCs w:val="24"/>
        </w:rPr>
        <w:t>with α = 5%, it is known that it is 2.034 with a significant level of-0.514 &lt;2.034. From these res</w:t>
      </w:r>
      <w:r w:rsidR="00782F76">
        <w:rPr>
          <w:rFonts w:eastAsia="Arial Unicode MS"/>
          <w:bCs/>
          <w:sz w:val="24"/>
          <w:szCs w:val="24"/>
        </w:rPr>
        <w:t>ults it can be concluded that H</w:t>
      </w:r>
      <w:r w:rsidRPr="00782F76">
        <w:rPr>
          <w:rFonts w:eastAsia="Arial Unicode MS"/>
          <w:bCs/>
          <w:sz w:val="24"/>
          <w:szCs w:val="24"/>
          <w:vertAlign w:val="subscript"/>
        </w:rPr>
        <w:t>o</w:t>
      </w:r>
      <w:r w:rsidRPr="00B5003E">
        <w:rPr>
          <w:rFonts w:eastAsia="Arial Unicode MS"/>
          <w:bCs/>
          <w:sz w:val="24"/>
          <w:szCs w:val="24"/>
        </w:rPr>
        <w:t xml:space="preserve"> rejected and H</w:t>
      </w:r>
      <w:r w:rsidRPr="00782F76">
        <w:rPr>
          <w:rFonts w:eastAsia="Arial Unicode MS"/>
          <w:bCs/>
          <w:sz w:val="24"/>
          <w:szCs w:val="24"/>
          <w:vertAlign w:val="subscript"/>
        </w:rPr>
        <w:t xml:space="preserve">a </w:t>
      </w:r>
      <w:r w:rsidRPr="00B5003E">
        <w:rPr>
          <w:rFonts w:eastAsia="Arial Unicode MS"/>
          <w:bCs/>
          <w:sz w:val="24"/>
          <w:szCs w:val="24"/>
        </w:rPr>
        <w:t xml:space="preserve">accepted, this indicates that there is no intermediate but not significant </w:t>
      </w:r>
      <w:r w:rsidR="00782F76">
        <w:rPr>
          <w:rFonts w:eastAsia="Arial Unicode MS"/>
          <w:bCs/>
          <w:sz w:val="24"/>
          <w:szCs w:val="24"/>
        </w:rPr>
        <w:t xml:space="preserve">effect </w:t>
      </w:r>
      <w:r w:rsidRPr="00B5003E">
        <w:rPr>
          <w:rFonts w:eastAsia="Arial Unicode MS"/>
          <w:bCs/>
          <w:i/>
          <w:iCs/>
          <w:sz w:val="24"/>
          <w:szCs w:val="24"/>
        </w:rPr>
        <w:t xml:space="preserve">Current Ratio </w:t>
      </w:r>
      <w:r w:rsidR="00782F76">
        <w:rPr>
          <w:rFonts w:eastAsia="Arial Unicode MS"/>
          <w:bCs/>
          <w:i/>
          <w:iCs/>
          <w:sz w:val="24"/>
          <w:szCs w:val="24"/>
        </w:rPr>
        <w:t xml:space="preserve">                     </w:t>
      </w:r>
      <w:r w:rsidR="00782F76">
        <w:rPr>
          <w:rFonts w:eastAsia="Arial Unicode MS"/>
          <w:bCs/>
          <w:iCs/>
          <w:sz w:val="24"/>
          <w:szCs w:val="24"/>
        </w:rPr>
        <w:t>(</w:t>
      </w:r>
      <w:r w:rsidRPr="00B5003E">
        <w:rPr>
          <w:rFonts w:eastAsia="Arial Unicode MS"/>
          <w:bCs/>
          <w:sz w:val="24"/>
          <w:szCs w:val="24"/>
        </w:rPr>
        <w:t>CR) against</w:t>
      </w:r>
      <w:r w:rsidRPr="00B5003E">
        <w:rPr>
          <w:rFonts w:eastAsia="Arial Unicode MS"/>
          <w:bCs/>
          <w:i/>
          <w:iCs/>
          <w:sz w:val="24"/>
          <w:szCs w:val="24"/>
        </w:rPr>
        <w:t xml:space="preserve"> 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r w:rsidRPr="00782F76">
        <w:rPr>
          <w:rFonts w:eastAsia="Arial Unicode MS"/>
          <w:bCs/>
          <w:iCs/>
          <w:sz w:val="24"/>
          <w:szCs w:val="24"/>
        </w:rPr>
        <w:t>(</w:t>
      </w:r>
      <w:r w:rsidRPr="00B5003E">
        <w:rPr>
          <w:rFonts w:eastAsia="Arial Unicode MS"/>
          <w:bCs/>
          <w:sz w:val="24"/>
          <w:szCs w:val="24"/>
        </w:rPr>
        <w:t>ROE) in Transportation Sector companies listed on the Indonesian Stock</w:t>
      </w:r>
      <w:r w:rsidR="00782F76">
        <w:rPr>
          <w:rFonts w:eastAsia="Arial Unicode MS"/>
          <w:bCs/>
          <w:sz w:val="24"/>
          <w:szCs w:val="24"/>
        </w:rPr>
        <w:t xml:space="preserve"> </w:t>
      </w:r>
      <w:r w:rsidRPr="00B5003E">
        <w:rPr>
          <w:rFonts w:eastAsia="Arial Unicode MS"/>
          <w:bCs/>
          <w:sz w:val="24"/>
          <w:szCs w:val="24"/>
        </w:rPr>
        <w:t>Exchange.</w:t>
      </w:r>
    </w:p>
    <w:p w:rsidR="00782F76" w:rsidRDefault="00782F76" w:rsidP="00782F76">
      <w:pPr>
        <w:jc w:val="both"/>
        <w:rPr>
          <w:sz w:val="24"/>
          <w:szCs w:val="24"/>
        </w:rPr>
      </w:pPr>
    </w:p>
    <w:p w:rsidR="00782F76" w:rsidRDefault="00000088" w:rsidP="00782F76">
      <w:pPr>
        <w:jc w:val="both"/>
        <w:rPr>
          <w:sz w:val="24"/>
          <w:szCs w:val="24"/>
        </w:rPr>
      </w:pPr>
      <w:r w:rsidRPr="00782F76">
        <w:rPr>
          <w:rFonts w:eastAsia="Arial Unicode MS"/>
          <w:b/>
          <w:bCs/>
          <w:sz w:val="24"/>
          <w:szCs w:val="24"/>
        </w:rPr>
        <w:t xml:space="preserve">Influence </w:t>
      </w:r>
      <w:r w:rsidRPr="00782F76">
        <w:rPr>
          <w:rFonts w:eastAsia="Arial Unicode MS"/>
          <w:b/>
          <w:bCs/>
          <w:i/>
          <w:iCs/>
          <w:sz w:val="24"/>
          <w:szCs w:val="24"/>
        </w:rPr>
        <w:t xml:space="preserve">Debt To Equity Ratio </w:t>
      </w:r>
      <w:r w:rsidRPr="00782F76">
        <w:rPr>
          <w:rFonts w:eastAsia="Arial Unicode MS"/>
          <w:b/>
          <w:bCs/>
          <w:iCs/>
          <w:sz w:val="24"/>
          <w:szCs w:val="24"/>
        </w:rPr>
        <w:t>(</w:t>
      </w:r>
      <w:r w:rsidRPr="00782F76">
        <w:rPr>
          <w:rFonts w:eastAsia="Arial Unicode MS"/>
          <w:b/>
          <w:bCs/>
          <w:sz w:val="24"/>
          <w:szCs w:val="24"/>
        </w:rPr>
        <w:t xml:space="preserve">DER) against </w:t>
      </w:r>
      <w:r w:rsidRPr="00782F76">
        <w:rPr>
          <w:rFonts w:eastAsia="Arial Unicode MS"/>
          <w:b/>
          <w:bCs/>
          <w:i/>
          <w:iCs/>
          <w:sz w:val="24"/>
          <w:szCs w:val="24"/>
        </w:rPr>
        <w:t xml:space="preserve">Return On Equity </w:t>
      </w:r>
      <w:proofErr w:type="gramStart"/>
      <w:r w:rsidRPr="00782F76">
        <w:rPr>
          <w:rFonts w:eastAsia="Arial Unicode MS"/>
          <w:b/>
          <w:bCs/>
          <w:i/>
          <w:iCs/>
          <w:sz w:val="24"/>
          <w:szCs w:val="24"/>
        </w:rPr>
        <w:t>(</w:t>
      </w:r>
      <w:r w:rsidRPr="00782F76">
        <w:rPr>
          <w:rFonts w:eastAsia="Arial Unicode MS"/>
          <w:b/>
          <w:bCs/>
          <w:sz w:val="24"/>
          <w:szCs w:val="24"/>
        </w:rPr>
        <w:t xml:space="preserve"> ROE</w:t>
      </w:r>
      <w:proofErr w:type="gramEnd"/>
      <w:r w:rsidRPr="00782F76">
        <w:rPr>
          <w:rFonts w:eastAsia="Arial Unicode MS"/>
          <w:b/>
          <w:bCs/>
          <w:sz w:val="24"/>
          <w:szCs w:val="24"/>
        </w:rPr>
        <w:t>)</w:t>
      </w:r>
    </w:p>
    <w:p w:rsidR="00000088" w:rsidRPr="00B5003E" w:rsidRDefault="00000088" w:rsidP="00782F76">
      <w:pPr>
        <w:ind w:firstLine="720"/>
        <w:jc w:val="both"/>
        <w:rPr>
          <w:sz w:val="24"/>
          <w:szCs w:val="24"/>
        </w:rPr>
      </w:pPr>
      <w:r w:rsidRPr="00B5003E">
        <w:rPr>
          <w:rFonts w:eastAsia="Arial Unicode MS"/>
          <w:bCs/>
          <w:sz w:val="24"/>
          <w:szCs w:val="24"/>
        </w:rPr>
        <w:t xml:space="preserve">Based on the partial test results between </w:t>
      </w:r>
      <w:r w:rsidRPr="00B5003E">
        <w:rPr>
          <w:rFonts w:eastAsia="Arial Unicode MS"/>
          <w:bCs/>
          <w:i/>
          <w:iCs/>
          <w:sz w:val="24"/>
          <w:szCs w:val="24"/>
        </w:rPr>
        <w:t xml:space="preserve">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w:t>
      </w:r>
      <w:r w:rsidR="00782F76">
        <w:rPr>
          <w:rFonts w:eastAsia="Arial Unicode MS"/>
          <w:bCs/>
          <w:i/>
          <w:iCs/>
          <w:sz w:val="24"/>
          <w:szCs w:val="24"/>
        </w:rPr>
        <w:t xml:space="preserve"> </w:t>
      </w:r>
      <w:r w:rsidRPr="00782F76">
        <w:rPr>
          <w:rFonts w:eastAsia="Arial Unicode MS"/>
          <w:bCs/>
          <w:iCs/>
          <w:sz w:val="24"/>
          <w:szCs w:val="24"/>
        </w:rPr>
        <w:t>(</w:t>
      </w:r>
      <w:r w:rsidRPr="00B5003E">
        <w:rPr>
          <w:rFonts w:eastAsia="Arial Unicode MS"/>
          <w:bCs/>
          <w:sz w:val="24"/>
          <w:szCs w:val="24"/>
        </w:rPr>
        <w:t xml:space="preserve">DER) against </w:t>
      </w:r>
      <w:r w:rsidRPr="00B5003E">
        <w:rPr>
          <w:rFonts w:eastAsia="Arial Unicode MS"/>
          <w:bCs/>
          <w:i/>
          <w:iCs/>
          <w:sz w:val="24"/>
          <w:szCs w:val="24"/>
        </w:rPr>
        <w:t xml:space="preserve">Return On Equity </w:t>
      </w:r>
      <w:r w:rsidRPr="00782F76">
        <w:rPr>
          <w:rFonts w:eastAsia="Arial Unicode MS"/>
          <w:bCs/>
          <w:iCs/>
          <w:sz w:val="24"/>
          <w:szCs w:val="24"/>
        </w:rPr>
        <w:t>(</w:t>
      </w:r>
      <w:r w:rsidRPr="00B5003E">
        <w:rPr>
          <w:rFonts w:eastAsia="Arial Unicode MS"/>
          <w:bCs/>
          <w:sz w:val="24"/>
          <w:szCs w:val="24"/>
        </w:rPr>
        <w:t xml:space="preserve">ROE) obtained </w:t>
      </w:r>
      <w:proofErr w:type="spellStart"/>
      <w:r w:rsidRPr="00B5003E">
        <w:rPr>
          <w:rFonts w:eastAsia="Arial Unicode MS"/>
          <w:bCs/>
          <w:sz w:val="24"/>
          <w:szCs w:val="24"/>
        </w:rPr>
        <w:t>t</w:t>
      </w:r>
      <w:r w:rsidRPr="00782F76">
        <w:rPr>
          <w:rFonts w:eastAsia="Arial Unicode MS"/>
          <w:bCs/>
          <w:sz w:val="24"/>
          <w:szCs w:val="24"/>
          <w:vertAlign w:val="subscript"/>
        </w:rPr>
        <w:t>countis</w:t>
      </w:r>
      <w:proofErr w:type="spellEnd"/>
      <w:r w:rsidRPr="00B5003E">
        <w:rPr>
          <w:rFonts w:eastAsia="Arial Unicode MS"/>
          <w:bCs/>
          <w:sz w:val="24"/>
          <w:szCs w:val="24"/>
        </w:rPr>
        <w:t xml:space="preserve"> 0.000 and </w:t>
      </w:r>
      <w:proofErr w:type="spellStart"/>
      <w:r w:rsidRPr="00B5003E">
        <w:rPr>
          <w:rFonts w:eastAsia="Arial Unicode MS"/>
          <w:bCs/>
          <w:sz w:val="24"/>
          <w:szCs w:val="24"/>
        </w:rPr>
        <w:t>t</w:t>
      </w:r>
      <w:r w:rsidRPr="00782F76">
        <w:rPr>
          <w:rFonts w:eastAsia="Arial Unicode MS"/>
          <w:bCs/>
          <w:sz w:val="24"/>
          <w:szCs w:val="24"/>
          <w:vertAlign w:val="subscript"/>
        </w:rPr>
        <w:t>table</w:t>
      </w:r>
      <w:proofErr w:type="spellEnd"/>
      <w:r w:rsidR="00782F76">
        <w:rPr>
          <w:rFonts w:eastAsia="Arial Unicode MS"/>
          <w:bCs/>
          <w:sz w:val="24"/>
          <w:szCs w:val="24"/>
        </w:rPr>
        <w:t xml:space="preserve"> </w:t>
      </w:r>
      <w:r w:rsidRPr="00B5003E">
        <w:rPr>
          <w:rFonts w:eastAsia="Arial Unicode MS"/>
          <w:bCs/>
          <w:sz w:val="24"/>
          <w:szCs w:val="24"/>
        </w:rPr>
        <w:t>where α = 5% is known as</w:t>
      </w:r>
      <w:r w:rsidR="00782F76">
        <w:rPr>
          <w:rFonts w:eastAsia="Arial Unicode MS"/>
          <w:bCs/>
          <w:sz w:val="24"/>
          <w:szCs w:val="24"/>
        </w:rPr>
        <w:t xml:space="preserve"> </w:t>
      </w:r>
      <w:r w:rsidRPr="00B5003E">
        <w:rPr>
          <w:rFonts w:eastAsia="Arial Unicode MS"/>
          <w:bCs/>
          <w:sz w:val="24"/>
          <w:szCs w:val="24"/>
        </w:rPr>
        <w:t>2.034 with a significant level of -0.192&gt; 2.034. From these res</w:t>
      </w:r>
      <w:r w:rsidR="00782F76">
        <w:rPr>
          <w:rFonts w:eastAsia="Arial Unicode MS"/>
          <w:bCs/>
          <w:sz w:val="24"/>
          <w:szCs w:val="24"/>
        </w:rPr>
        <w:t>ults it can be concluded that H</w:t>
      </w:r>
      <w:r w:rsidRPr="00782F76">
        <w:rPr>
          <w:rFonts w:eastAsia="Arial Unicode MS"/>
          <w:bCs/>
          <w:sz w:val="24"/>
          <w:szCs w:val="24"/>
          <w:vertAlign w:val="subscript"/>
        </w:rPr>
        <w:t>o</w:t>
      </w:r>
      <w:r w:rsidR="00782F76">
        <w:rPr>
          <w:rFonts w:eastAsia="Arial Unicode MS"/>
          <w:bCs/>
          <w:sz w:val="24"/>
          <w:szCs w:val="24"/>
        </w:rPr>
        <w:t xml:space="preserve"> accepted and H</w:t>
      </w:r>
      <w:r w:rsidRPr="00782F76">
        <w:rPr>
          <w:rFonts w:eastAsia="Arial Unicode MS"/>
          <w:bCs/>
          <w:sz w:val="24"/>
          <w:szCs w:val="24"/>
          <w:vertAlign w:val="subscript"/>
        </w:rPr>
        <w:t>a</w:t>
      </w:r>
      <w:r w:rsidRPr="00B5003E">
        <w:rPr>
          <w:rFonts w:eastAsia="Arial Unicode MS"/>
          <w:bCs/>
          <w:sz w:val="24"/>
          <w:szCs w:val="24"/>
        </w:rPr>
        <w:t xml:space="preserve"> rejected, this indicates that there is no significant effect between</w:t>
      </w:r>
      <w:r w:rsidR="00782F76">
        <w:rPr>
          <w:sz w:val="24"/>
          <w:szCs w:val="24"/>
        </w:rPr>
        <w:t xml:space="preserve">. </w:t>
      </w:r>
      <w:r w:rsidRPr="00B5003E">
        <w:rPr>
          <w:rFonts w:eastAsia="Arial Unicode MS"/>
          <w:bCs/>
          <w:i/>
          <w:iCs/>
          <w:sz w:val="24"/>
          <w:szCs w:val="24"/>
        </w:rPr>
        <w:t xml:space="preserve">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 </w:t>
      </w:r>
      <w:r w:rsidRPr="00B5003E">
        <w:rPr>
          <w:rFonts w:eastAsia="Arial Unicode MS"/>
          <w:bCs/>
          <w:sz w:val="24"/>
          <w:szCs w:val="24"/>
        </w:rPr>
        <w:t>to</w:t>
      </w:r>
      <w:r w:rsidRPr="00B5003E">
        <w:rPr>
          <w:rFonts w:eastAsia="Arial Unicode MS"/>
          <w:bCs/>
          <w:i/>
          <w:iCs/>
          <w:sz w:val="24"/>
          <w:szCs w:val="24"/>
        </w:rPr>
        <w:t xml:space="preserve"> Return On Equity </w:t>
      </w:r>
      <w:r w:rsidR="00782F76">
        <w:rPr>
          <w:rFonts w:eastAsia="Arial Unicode MS"/>
          <w:bCs/>
          <w:iCs/>
          <w:sz w:val="24"/>
          <w:szCs w:val="24"/>
        </w:rPr>
        <w:t>(</w:t>
      </w:r>
      <w:r w:rsidRPr="00B5003E">
        <w:rPr>
          <w:rFonts w:eastAsia="Arial Unicode MS"/>
          <w:bCs/>
          <w:sz w:val="24"/>
          <w:szCs w:val="24"/>
        </w:rPr>
        <w:t>ROE) in Transportation Sector Companies listed on the Indonesia Stock</w:t>
      </w:r>
      <w:r w:rsidR="00782F76">
        <w:rPr>
          <w:rFonts w:eastAsia="Arial Unicode MS"/>
          <w:bCs/>
          <w:sz w:val="24"/>
          <w:szCs w:val="24"/>
        </w:rPr>
        <w:t xml:space="preserve"> </w:t>
      </w:r>
      <w:r w:rsidRPr="00B5003E">
        <w:rPr>
          <w:rFonts w:eastAsia="Arial Unicode MS"/>
          <w:bCs/>
          <w:sz w:val="24"/>
          <w:szCs w:val="24"/>
        </w:rPr>
        <w:t>Exchange</w:t>
      </w:r>
    </w:p>
    <w:p w:rsidR="00000088" w:rsidRPr="00B5003E" w:rsidRDefault="00000088" w:rsidP="00782F76">
      <w:pPr>
        <w:jc w:val="both"/>
        <w:rPr>
          <w:sz w:val="24"/>
          <w:szCs w:val="24"/>
        </w:rPr>
      </w:pPr>
    </w:p>
    <w:p w:rsidR="00000088" w:rsidRPr="00782F76" w:rsidRDefault="00000088" w:rsidP="00782F76">
      <w:pPr>
        <w:jc w:val="both"/>
        <w:rPr>
          <w:b/>
          <w:sz w:val="24"/>
          <w:szCs w:val="24"/>
        </w:rPr>
      </w:pPr>
      <w:r w:rsidRPr="00782F76">
        <w:rPr>
          <w:rFonts w:eastAsia="Arial Unicode MS"/>
          <w:b/>
          <w:bCs/>
          <w:sz w:val="24"/>
          <w:szCs w:val="24"/>
        </w:rPr>
        <w:t xml:space="preserve">Influence </w:t>
      </w:r>
      <w:r w:rsidRPr="00782F76">
        <w:rPr>
          <w:rFonts w:eastAsia="Arial Unicode MS"/>
          <w:b/>
          <w:bCs/>
          <w:i/>
          <w:iCs/>
          <w:sz w:val="24"/>
          <w:szCs w:val="24"/>
        </w:rPr>
        <w:t xml:space="preserve">Total Assets Turnover </w:t>
      </w:r>
      <w:r w:rsidRPr="00782F76">
        <w:rPr>
          <w:rFonts w:eastAsia="Arial Unicode MS"/>
          <w:b/>
          <w:bCs/>
          <w:iCs/>
          <w:sz w:val="24"/>
          <w:szCs w:val="24"/>
        </w:rPr>
        <w:t>(</w:t>
      </w:r>
      <w:r w:rsidR="00782F76">
        <w:rPr>
          <w:rFonts w:eastAsia="Arial Unicode MS"/>
          <w:b/>
          <w:bCs/>
          <w:sz w:val="24"/>
          <w:szCs w:val="24"/>
        </w:rPr>
        <w:t>TATO</w:t>
      </w:r>
      <w:r w:rsidRPr="00782F76">
        <w:rPr>
          <w:rFonts w:eastAsia="Arial Unicode MS"/>
          <w:b/>
          <w:bCs/>
          <w:sz w:val="24"/>
          <w:szCs w:val="24"/>
        </w:rPr>
        <w:t xml:space="preserve">) against </w:t>
      </w:r>
      <w:r w:rsidRPr="00782F76">
        <w:rPr>
          <w:rFonts w:eastAsia="Arial Unicode MS"/>
          <w:b/>
          <w:bCs/>
          <w:i/>
          <w:iCs/>
          <w:sz w:val="24"/>
          <w:szCs w:val="24"/>
        </w:rPr>
        <w:t xml:space="preserve">Return On Equity </w:t>
      </w:r>
      <w:proofErr w:type="gramStart"/>
      <w:r w:rsidRPr="00782F76">
        <w:rPr>
          <w:rFonts w:eastAsia="Arial Unicode MS"/>
          <w:b/>
          <w:bCs/>
          <w:i/>
          <w:iCs/>
          <w:sz w:val="24"/>
          <w:szCs w:val="24"/>
        </w:rPr>
        <w:t>(</w:t>
      </w:r>
      <w:r w:rsidRPr="00782F76">
        <w:rPr>
          <w:rFonts w:eastAsia="Arial Unicode MS"/>
          <w:b/>
          <w:bCs/>
          <w:sz w:val="24"/>
          <w:szCs w:val="24"/>
        </w:rPr>
        <w:t xml:space="preserve"> ROE</w:t>
      </w:r>
      <w:proofErr w:type="gramEnd"/>
      <w:r w:rsidRPr="00782F76">
        <w:rPr>
          <w:rFonts w:eastAsia="Arial Unicode MS"/>
          <w:b/>
          <w:bCs/>
          <w:sz w:val="24"/>
          <w:szCs w:val="24"/>
        </w:rPr>
        <w:t>)</w:t>
      </w:r>
    </w:p>
    <w:p w:rsidR="00000088" w:rsidRPr="00782F76" w:rsidRDefault="00000088" w:rsidP="00782F76">
      <w:pPr>
        <w:ind w:firstLine="720"/>
        <w:jc w:val="both"/>
        <w:rPr>
          <w:sz w:val="24"/>
          <w:szCs w:val="24"/>
        </w:rPr>
      </w:pPr>
      <w:r w:rsidRPr="00B5003E">
        <w:rPr>
          <w:rFonts w:eastAsia="Arial Unicode MS"/>
          <w:bCs/>
          <w:sz w:val="24"/>
          <w:szCs w:val="24"/>
        </w:rPr>
        <w:t xml:space="preserve">Based on the partial test results between </w:t>
      </w:r>
      <w:r w:rsidRPr="00B5003E">
        <w:rPr>
          <w:rFonts w:eastAsia="Arial Unicode MS"/>
          <w:bCs/>
          <w:i/>
          <w:iCs/>
          <w:sz w:val="24"/>
          <w:szCs w:val="24"/>
        </w:rPr>
        <w:t xml:space="preserve">Total Assets Turnover </w:t>
      </w:r>
      <w:r w:rsidRPr="00782F76">
        <w:rPr>
          <w:rFonts w:eastAsia="Arial Unicode MS"/>
          <w:bCs/>
          <w:iCs/>
          <w:sz w:val="24"/>
          <w:szCs w:val="24"/>
        </w:rPr>
        <w:t>(</w:t>
      </w:r>
      <w:r w:rsidR="00782F76">
        <w:rPr>
          <w:rFonts w:eastAsia="Arial Unicode MS"/>
          <w:bCs/>
          <w:sz w:val="24"/>
          <w:szCs w:val="24"/>
        </w:rPr>
        <w:t>TATO</w:t>
      </w:r>
      <w:r w:rsidRPr="00B5003E">
        <w:rPr>
          <w:rFonts w:eastAsia="Arial Unicode MS"/>
          <w:bCs/>
          <w:sz w:val="24"/>
          <w:szCs w:val="24"/>
        </w:rPr>
        <w:t>) against</w:t>
      </w:r>
      <w:r w:rsidR="00782F76">
        <w:rPr>
          <w:sz w:val="24"/>
          <w:szCs w:val="24"/>
        </w:rPr>
        <w:t xml:space="preserve">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r w:rsidRPr="00782F76">
        <w:rPr>
          <w:rFonts w:eastAsia="Arial Unicode MS"/>
          <w:bCs/>
          <w:iCs/>
          <w:sz w:val="24"/>
          <w:szCs w:val="24"/>
        </w:rPr>
        <w:t>(</w:t>
      </w:r>
      <w:r w:rsidRPr="00B5003E">
        <w:rPr>
          <w:rFonts w:eastAsia="Arial Unicode MS"/>
          <w:bCs/>
          <w:sz w:val="24"/>
          <w:szCs w:val="24"/>
        </w:rPr>
        <w:t xml:space="preserve">ROE) obtained </w:t>
      </w:r>
      <w:proofErr w:type="spellStart"/>
      <w:r w:rsidRPr="00B5003E">
        <w:rPr>
          <w:rFonts w:eastAsia="Arial Unicode MS"/>
          <w:bCs/>
          <w:sz w:val="24"/>
          <w:szCs w:val="24"/>
        </w:rPr>
        <w:t>t</w:t>
      </w:r>
      <w:r w:rsidRPr="00782F76">
        <w:rPr>
          <w:rFonts w:eastAsia="Arial Unicode MS"/>
          <w:bCs/>
          <w:sz w:val="24"/>
          <w:szCs w:val="24"/>
          <w:vertAlign w:val="subscript"/>
        </w:rPr>
        <w:t>countis</w:t>
      </w:r>
      <w:proofErr w:type="spellEnd"/>
      <w:r w:rsidRPr="00B5003E">
        <w:rPr>
          <w:rFonts w:eastAsia="Arial Unicode MS"/>
          <w:bCs/>
          <w:sz w:val="24"/>
          <w:szCs w:val="24"/>
        </w:rPr>
        <w:t xml:space="preserve"> 0.235 and </w:t>
      </w:r>
      <w:proofErr w:type="spellStart"/>
      <w:r w:rsidRPr="00B5003E">
        <w:rPr>
          <w:rFonts w:eastAsia="Arial Unicode MS"/>
          <w:bCs/>
          <w:sz w:val="24"/>
          <w:szCs w:val="24"/>
        </w:rPr>
        <w:t>t</w:t>
      </w:r>
      <w:r w:rsidRPr="00782F76">
        <w:rPr>
          <w:rFonts w:eastAsia="Arial Unicode MS"/>
          <w:bCs/>
          <w:sz w:val="24"/>
          <w:szCs w:val="24"/>
          <w:vertAlign w:val="subscript"/>
        </w:rPr>
        <w:t>table</w:t>
      </w:r>
      <w:proofErr w:type="spellEnd"/>
      <w:r w:rsidR="00782F76">
        <w:rPr>
          <w:rFonts w:eastAsia="Arial Unicode MS"/>
          <w:bCs/>
          <w:sz w:val="24"/>
          <w:szCs w:val="24"/>
        </w:rPr>
        <w:t xml:space="preserve"> </w:t>
      </w:r>
      <w:r w:rsidRPr="00B5003E">
        <w:rPr>
          <w:rFonts w:eastAsia="Arial Unicode MS"/>
          <w:bCs/>
          <w:sz w:val="24"/>
          <w:szCs w:val="24"/>
        </w:rPr>
        <w:t>where α = 5% is known as</w:t>
      </w:r>
      <w:r w:rsidR="00782F76">
        <w:rPr>
          <w:sz w:val="24"/>
          <w:szCs w:val="24"/>
        </w:rPr>
        <w:t xml:space="preserve"> </w:t>
      </w:r>
      <w:r w:rsidRPr="00B5003E">
        <w:rPr>
          <w:rFonts w:eastAsia="Arial Unicode MS"/>
          <w:bCs/>
          <w:sz w:val="24"/>
          <w:szCs w:val="24"/>
        </w:rPr>
        <w:t>2,034 with a significant level of 5,568&gt; 2,034. From these res</w:t>
      </w:r>
      <w:r w:rsidR="00782F76">
        <w:rPr>
          <w:rFonts w:eastAsia="Arial Unicode MS"/>
          <w:bCs/>
          <w:sz w:val="24"/>
          <w:szCs w:val="24"/>
        </w:rPr>
        <w:t>ults it can be concluded that H</w:t>
      </w:r>
      <w:r w:rsidRPr="00782F76">
        <w:rPr>
          <w:rFonts w:eastAsia="Arial Unicode MS"/>
          <w:bCs/>
          <w:sz w:val="24"/>
          <w:szCs w:val="24"/>
          <w:vertAlign w:val="subscript"/>
        </w:rPr>
        <w:t>o</w:t>
      </w:r>
      <w:r w:rsidR="00782F76">
        <w:rPr>
          <w:sz w:val="24"/>
          <w:szCs w:val="24"/>
        </w:rPr>
        <w:t xml:space="preserve"> </w:t>
      </w:r>
      <w:r w:rsidR="00782F76">
        <w:rPr>
          <w:rFonts w:eastAsia="Arial Unicode MS"/>
          <w:bCs/>
          <w:sz w:val="24"/>
          <w:szCs w:val="24"/>
        </w:rPr>
        <w:t>accepted and H</w:t>
      </w:r>
      <w:r w:rsidRPr="00782F76">
        <w:rPr>
          <w:rFonts w:eastAsia="Arial Unicode MS"/>
          <w:bCs/>
          <w:sz w:val="24"/>
          <w:szCs w:val="24"/>
          <w:vertAlign w:val="subscript"/>
        </w:rPr>
        <w:t xml:space="preserve">a </w:t>
      </w:r>
      <w:r w:rsidRPr="00B5003E">
        <w:rPr>
          <w:rFonts w:eastAsia="Arial Unicode MS"/>
          <w:bCs/>
          <w:sz w:val="24"/>
          <w:szCs w:val="24"/>
        </w:rPr>
        <w:t xml:space="preserve">rejected, this shows that there is a significant influence between </w:t>
      </w:r>
      <w:r w:rsidRPr="00B5003E">
        <w:rPr>
          <w:rFonts w:eastAsia="Arial Unicode MS"/>
          <w:bCs/>
          <w:i/>
          <w:iCs/>
          <w:sz w:val="24"/>
          <w:szCs w:val="24"/>
        </w:rPr>
        <w:t>Total Assets Turnover (TATO)</w:t>
      </w:r>
      <w:r w:rsidRPr="00B5003E">
        <w:rPr>
          <w:rFonts w:eastAsia="Arial Unicode MS"/>
          <w:bCs/>
          <w:sz w:val="24"/>
          <w:szCs w:val="24"/>
        </w:rPr>
        <w:t xml:space="preserve"> to </w:t>
      </w:r>
      <w:proofErr w:type="spellStart"/>
      <w:r w:rsidRPr="00B5003E">
        <w:rPr>
          <w:rFonts w:eastAsia="Arial Unicode MS"/>
          <w:bCs/>
          <w:i/>
          <w:iCs/>
          <w:sz w:val="24"/>
          <w:szCs w:val="24"/>
        </w:rPr>
        <w:t>ReturnOn</w:t>
      </w:r>
      <w:proofErr w:type="spellEnd"/>
      <w:r w:rsidRPr="00B5003E">
        <w:rPr>
          <w:rFonts w:eastAsia="Arial Unicode MS"/>
          <w:bCs/>
          <w:i/>
          <w:iCs/>
          <w:sz w:val="24"/>
          <w:szCs w:val="24"/>
        </w:rPr>
        <w:t xml:space="preserve"> Equity </w:t>
      </w:r>
      <w:proofErr w:type="gramStart"/>
      <w:r w:rsidRPr="00B5003E">
        <w:rPr>
          <w:rFonts w:eastAsia="Arial Unicode MS"/>
          <w:bCs/>
          <w:i/>
          <w:iCs/>
          <w:sz w:val="24"/>
          <w:szCs w:val="24"/>
        </w:rPr>
        <w:t xml:space="preserve">( </w:t>
      </w:r>
      <w:r w:rsidRPr="00B5003E">
        <w:rPr>
          <w:rFonts w:eastAsia="Arial Unicode MS"/>
          <w:bCs/>
          <w:sz w:val="24"/>
          <w:szCs w:val="24"/>
        </w:rPr>
        <w:t>ROE</w:t>
      </w:r>
      <w:proofErr w:type="gramEnd"/>
      <w:r w:rsidRPr="00B5003E">
        <w:rPr>
          <w:rFonts w:eastAsia="Arial Unicode MS"/>
          <w:bCs/>
          <w:sz w:val="24"/>
          <w:szCs w:val="24"/>
        </w:rPr>
        <w:t>) in Transportation Sector Companies listed on the Indonesia Stock Exchange.</w:t>
      </w:r>
    </w:p>
    <w:p w:rsidR="00000088" w:rsidRPr="00B5003E" w:rsidRDefault="00000088" w:rsidP="00000088">
      <w:pPr>
        <w:rPr>
          <w:sz w:val="24"/>
          <w:szCs w:val="24"/>
        </w:rPr>
      </w:pPr>
    </w:p>
    <w:p w:rsidR="00000088" w:rsidRPr="00B5003E" w:rsidRDefault="00000088" w:rsidP="00000088">
      <w:pPr>
        <w:rPr>
          <w:sz w:val="24"/>
          <w:szCs w:val="24"/>
        </w:rPr>
      </w:pPr>
      <w:bookmarkStart w:id="9" w:name="page12"/>
      <w:bookmarkEnd w:id="9"/>
    </w:p>
    <w:p w:rsidR="00CA1F07" w:rsidRDefault="00000088" w:rsidP="00CA1F07">
      <w:pPr>
        <w:ind w:left="20"/>
        <w:rPr>
          <w:b/>
          <w:sz w:val="24"/>
          <w:szCs w:val="24"/>
        </w:rPr>
      </w:pPr>
      <w:r w:rsidRPr="00B5003E">
        <w:rPr>
          <w:rFonts w:eastAsia="Arial Unicode MS"/>
          <w:b/>
          <w:bCs/>
          <w:sz w:val="24"/>
          <w:szCs w:val="24"/>
        </w:rPr>
        <w:t>F test (Simultaneously)</w:t>
      </w:r>
    </w:p>
    <w:p w:rsidR="00000088" w:rsidRPr="00B5003E" w:rsidRDefault="00000088" w:rsidP="00CA1F07">
      <w:pPr>
        <w:ind w:left="20" w:firstLine="700"/>
        <w:jc w:val="both"/>
        <w:rPr>
          <w:sz w:val="24"/>
          <w:szCs w:val="24"/>
        </w:rPr>
      </w:pPr>
      <w:r w:rsidRPr="00B5003E">
        <w:rPr>
          <w:rFonts w:eastAsia="Arial Unicode MS"/>
          <w:bCs/>
          <w:sz w:val="24"/>
          <w:szCs w:val="24"/>
        </w:rPr>
        <w:t>The F statistical test (simultaneous) was conducted to determine whether the independent variable was</w:t>
      </w:r>
      <w:r w:rsidR="00CA1F07">
        <w:rPr>
          <w:rFonts w:eastAsia="Arial Unicode MS"/>
          <w:bCs/>
          <w:sz w:val="24"/>
          <w:szCs w:val="24"/>
        </w:rPr>
        <w:t xml:space="preserve"> </w:t>
      </w:r>
      <w:r w:rsidRPr="00B5003E">
        <w:rPr>
          <w:rFonts w:eastAsia="Arial Unicode MS"/>
          <w:bCs/>
          <w:sz w:val="24"/>
          <w:szCs w:val="24"/>
        </w:rPr>
        <w:t>(independent) together have a significant or no effect on the dependent variable. Simultaneous test results can be seen in the table below:</w:t>
      </w:r>
    </w:p>
    <w:p w:rsidR="00000088" w:rsidRPr="00B5003E" w:rsidRDefault="00000088" w:rsidP="00000088">
      <w:pPr>
        <w:rPr>
          <w:sz w:val="24"/>
          <w:szCs w:val="24"/>
        </w:rPr>
      </w:pPr>
    </w:p>
    <w:p w:rsidR="00000088" w:rsidRPr="00B5003E" w:rsidRDefault="00000088" w:rsidP="00000088">
      <w:pPr>
        <w:ind w:left="3420"/>
        <w:rPr>
          <w:sz w:val="24"/>
          <w:szCs w:val="24"/>
        </w:rPr>
      </w:pPr>
      <w:proofErr w:type="gramStart"/>
      <w:r w:rsidRPr="00B5003E">
        <w:rPr>
          <w:rFonts w:eastAsia="Arial Unicode MS"/>
          <w:bCs/>
          <w:sz w:val="24"/>
          <w:szCs w:val="24"/>
        </w:rPr>
        <w:t>Table 4.</w:t>
      </w:r>
      <w:proofErr w:type="gramEnd"/>
      <w:r w:rsidRPr="00B5003E">
        <w:rPr>
          <w:rFonts w:eastAsia="Arial Unicode MS"/>
          <w:bCs/>
          <w:sz w:val="24"/>
          <w:szCs w:val="24"/>
        </w:rPr>
        <w:t xml:space="preserve"> F Test Results</w:t>
      </w:r>
    </w:p>
    <w:p w:rsidR="00CA1F07" w:rsidRDefault="00CA1F07" w:rsidP="00000088">
      <w:pPr>
        <w:ind w:left="60"/>
        <w:rPr>
          <w:rFonts w:eastAsia="Arial Unicode MS"/>
          <w:bCs/>
          <w:sz w:val="24"/>
          <w:szCs w:val="24"/>
        </w:rPr>
      </w:pPr>
    </w:p>
    <w:tbl>
      <w:tblPr>
        <w:tblpPr w:leftFromText="180" w:rightFromText="180" w:vertAnchor="text" w:horzAnchor="margin" w:tblpXSpec="center" w:tblpY="127"/>
        <w:tblW w:w="8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99"/>
        <w:gridCol w:w="1302"/>
        <w:gridCol w:w="1797"/>
        <w:gridCol w:w="25"/>
        <w:gridCol w:w="1220"/>
        <w:gridCol w:w="26"/>
        <w:gridCol w:w="1699"/>
        <w:gridCol w:w="26"/>
        <w:gridCol w:w="866"/>
        <w:gridCol w:w="62"/>
        <w:gridCol w:w="881"/>
        <w:gridCol w:w="75"/>
      </w:tblGrid>
      <w:tr w:rsidR="00CA1F07" w:rsidRPr="00793600" w:rsidTr="00CA1F07">
        <w:trPr>
          <w:gridAfter w:val="1"/>
          <w:wAfter w:w="75" w:type="dxa"/>
          <w:cantSplit/>
          <w:trHeight w:val="278"/>
          <w:tblHeader/>
        </w:trPr>
        <w:tc>
          <w:tcPr>
            <w:tcW w:w="2201"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07" w:rsidRPr="00793600" w:rsidRDefault="00CA1F07" w:rsidP="00CA1F07">
            <w:pPr>
              <w:spacing w:line="320" w:lineRule="atLeast"/>
              <w:rPr>
                <w:sz w:val="24"/>
                <w:szCs w:val="24"/>
              </w:rPr>
            </w:pPr>
            <w:r w:rsidRPr="00793600">
              <w:rPr>
                <w:sz w:val="24"/>
                <w:szCs w:val="24"/>
              </w:rPr>
              <w:t>Model</w:t>
            </w:r>
          </w:p>
        </w:tc>
        <w:tc>
          <w:tcPr>
            <w:tcW w:w="179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07" w:rsidRPr="00793600" w:rsidRDefault="00CA1F07" w:rsidP="00CA1F07">
            <w:pPr>
              <w:spacing w:line="320" w:lineRule="atLeast"/>
              <w:jc w:val="center"/>
              <w:rPr>
                <w:sz w:val="24"/>
                <w:szCs w:val="24"/>
              </w:rPr>
            </w:pPr>
            <w:r w:rsidRPr="00793600">
              <w:rPr>
                <w:sz w:val="24"/>
                <w:szCs w:val="24"/>
              </w:rPr>
              <w:t>Sum of Squares</w:t>
            </w:r>
          </w:p>
        </w:tc>
        <w:tc>
          <w:tcPr>
            <w:tcW w:w="1245"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07" w:rsidRPr="00793600" w:rsidRDefault="00CA1F07" w:rsidP="00CA1F07">
            <w:pPr>
              <w:spacing w:line="320" w:lineRule="atLeast"/>
              <w:jc w:val="center"/>
              <w:rPr>
                <w:sz w:val="24"/>
                <w:szCs w:val="24"/>
              </w:rPr>
            </w:pPr>
            <w:proofErr w:type="spellStart"/>
            <w:r w:rsidRPr="00793600">
              <w:rPr>
                <w:sz w:val="24"/>
                <w:szCs w:val="24"/>
              </w:rPr>
              <w:t>Df</w:t>
            </w:r>
            <w:proofErr w:type="spellEnd"/>
          </w:p>
        </w:tc>
        <w:tc>
          <w:tcPr>
            <w:tcW w:w="1725"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07" w:rsidRPr="00793600" w:rsidRDefault="00CA1F07" w:rsidP="00CA1F07">
            <w:pPr>
              <w:spacing w:line="320" w:lineRule="atLeast"/>
              <w:jc w:val="center"/>
              <w:rPr>
                <w:sz w:val="24"/>
                <w:szCs w:val="24"/>
              </w:rPr>
            </w:pPr>
            <w:r w:rsidRPr="00793600">
              <w:rPr>
                <w:sz w:val="24"/>
                <w:szCs w:val="24"/>
              </w:rPr>
              <w:t>Mean Square</w:t>
            </w:r>
          </w:p>
        </w:tc>
        <w:tc>
          <w:tcPr>
            <w:tcW w:w="892"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07" w:rsidRPr="00793600" w:rsidRDefault="00CA1F07" w:rsidP="00CA1F07">
            <w:pPr>
              <w:spacing w:line="320" w:lineRule="atLeast"/>
              <w:jc w:val="center"/>
              <w:rPr>
                <w:sz w:val="24"/>
                <w:szCs w:val="24"/>
              </w:rPr>
            </w:pPr>
            <w:r w:rsidRPr="00793600">
              <w:rPr>
                <w:sz w:val="24"/>
                <w:szCs w:val="24"/>
              </w:rPr>
              <w:t>F</w:t>
            </w:r>
          </w:p>
        </w:tc>
        <w:tc>
          <w:tcPr>
            <w:tcW w:w="943"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07" w:rsidRPr="00793600" w:rsidRDefault="00CA1F07" w:rsidP="00CA1F07">
            <w:pPr>
              <w:spacing w:line="320" w:lineRule="atLeast"/>
              <w:jc w:val="center"/>
              <w:rPr>
                <w:sz w:val="24"/>
                <w:szCs w:val="24"/>
              </w:rPr>
            </w:pPr>
            <w:r w:rsidRPr="00793600">
              <w:rPr>
                <w:sz w:val="24"/>
                <w:szCs w:val="24"/>
              </w:rPr>
              <w:t>Sig.</w:t>
            </w:r>
          </w:p>
        </w:tc>
      </w:tr>
      <w:tr w:rsidR="00CA1F07" w:rsidRPr="00793600" w:rsidTr="00CA1F07">
        <w:trPr>
          <w:gridAfter w:val="1"/>
          <w:wAfter w:w="75" w:type="dxa"/>
          <w:cantSplit/>
          <w:trHeight w:val="304"/>
          <w:tblHeader/>
        </w:trPr>
        <w:tc>
          <w:tcPr>
            <w:tcW w:w="89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07" w:rsidRPr="00793600" w:rsidRDefault="00CA1F07" w:rsidP="00CA1F07">
            <w:pPr>
              <w:spacing w:line="320" w:lineRule="atLeast"/>
              <w:rPr>
                <w:sz w:val="24"/>
                <w:szCs w:val="24"/>
              </w:rPr>
            </w:pPr>
            <w:r w:rsidRPr="00793600">
              <w:rPr>
                <w:sz w:val="24"/>
                <w:szCs w:val="24"/>
              </w:rPr>
              <w:t>1</w:t>
            </w:r>
          </w:p>
        </w:tc>
        <w:tc>
          <w:tcPr>
            <w:tcW w:w="130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07" w:rsidRPr="00793600" w:rsidRDefault="00CA1F07" w:rsidP="00CA1F07">
            <w:pPr>
              <w:spacing w:line="320" w:lineRule="atLeast"/>
              <w:rPr>
                <w:sz w:val="24"/>
                <w:szCs w:val="24"/>
              </w:rPr>
            </w:pPr>
            <w:r w:rsidRPr="00793600">
              <w:rPr>
                <w:sz w:val="24"/>
                <w:szCs w:val="24"/>
              </w:rPr>
              <w:t>Regression</w:t>
            </w:r>
          </w:p>
        </w:tc>
        <w:tc>
          <w:tcPr>
            <w:tcW w:w="179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.449</w:t>
            </w:r>
          </w:p>
        </w:tc>
        <w:tc>
          <w:tcPr>
            <w:tcW w:w="1245"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3</w:t>
            </w:r>
          </w:p>
        </w:tc>
        <w:tc>
          <w:tcPr>
            <w:tcW w:w="1725"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.150</w:t>
            </w:r>
          </w:p>
        </w:tc>
        <w:tc>
          <w:tcPr>
            <w:tcW w:w="892"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10.431</w:t>
            </w:r>
          </w:p>
        </w:tc>
        <w:tc>
          <w:tcPr>
            <w:tcW w:w="943"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.000</w:t>
            </w:r>
            <w:r w:rsidRPr="00793600">
              <w:rPr>
                <w:sz w:val="24"/>
                <w:szCs w:val="24"/>
                <w:vertAlign w:val="superscript"/>
              </w:rPr>
              <w:t>a</w:t>
            </w:r>
          </w:p>
        </w:tc>
      </w:tr>
      <w:tr w:rsidR="00CA1F07" w:rsidRPr="00793600" w:rsidTr="00CA1F07">
        <w:trPr>
          <w:gridAfter w:val="1"/>
          <w:wAfter w:w="75" w:type="dxa"/>
          <w:cantSplit/>
          <w:trHeight w:val="354"/>
          <w:tblHeader/>
        </w:trPr>
        <w:tc>
          <w:tcPr>
            <w:tcW w:w="899" w:type="dxa"/>
            <w:vMerge/>
            <w:tcBorders>
              <w:top w:val="single" w:sz="18" w:space="0" w:color="000000"/>
              <w:left w:val="single" w:sz="18" w:space="0" w:color="000000"/>
              <w:bottom w:val="single" w:sz="18" w:space="0" w:color="000000"/>
              <w:right w:val="nil"/>
            </w:tcBorders>
            <w:vAlign w:val="center"/>
            <w:hideMark/>
          </w:tcPr>
          <w:p w:rsidR="00CA1F07" w:rsidRPr="00793600" w:rsidRDefault="00CA1F07" w:rsidP="00CA1F07">
            <w:pPr>
              <w:spacing w:line="256" w:lineRule="auto"/>
              <w:rPr>
                <w:rFonts w:eastAsia="Times New Roman"/>
                <w:sz w:val="24"/>
                <w:szCs w:val="24"/>
              </w:rPr>
            </w:pPr>
          </w:p>
        </w:tc>
        <w:tc>
          <w:tcPr>
            <w:tcW w:w="130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07" w:rsidRPr="00793600" w:rsidRDefault="00CA1F07" w:rsidP="00CA1F07">
            <w:pPr>
              <w:spacing w:line="320" w:lineRule="atLeast"/>
              <w:rPr>
                <w:sz w:val="24"/>
                <w:szCs w:val="24"/>
              </w:rPr>
            </w:pPr>
            <w:r w:rsidRPr="00793600">
              <w:rPr>
                <w:sz w:val="24"/>
                <w:szCs w:val="24"/>
              </w:rPr>
              <w:t>Residual</w:t>
            </w:r>
          </w:p>
        </w:tc>
        <w:tc>
          <w:tcPr>
            <w:tcW w:w="179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.445</w:t>
            </w:r>
          </w:p>
        </w:tc>
        <w:tc>
          <w:tcPr>
            <w:tcW w:w="124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31</w:t>
            </w:r>
          </w:p>
        </w:tc>
        <w:tc>
          <w:tcPr>
            <w:tcW w:w="172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.014</w:t>
            </w:r>
          </w:p>
        </w:tc>
        <w:tc>
          <w:tcPr>
            <w:tcW w:w="892"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c>
          <w:tcPr>
            <w:tcW w:w="943"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r>
      <w:tr w:rsidR="00CA1F07" w:rsidRPr="00793600" w:rsidTr="00CA1F07">
        <w:trPr>
          <w:gridAfter w:val="1"/>
          <w:wAfter w:w="75" w:type="dxa"/>
          <w:cantSplit/>
          <w:trHeight w:val="320"/>
          <w:tblHeader/>
        </w:trPr>
        <w:tc>
          <w:tcPr>
            <w:tcW w:w="899" w:type="dxa"/>
            <w:vMerge/>
            <w:tcBorders>
              <w:top w:val="single" w:sz="18" w:space="0" w:color="000000"/>
              <w:left w:val="single" w:sz="18" w:space="0" w:color="000000"/>
              <w:bottom w:val="single" w:sz="18" w:space="0" w:color="000000"/>
              <w:right w:val="nil"/>
            </w:tcBorders>
            <w:vAlign w:val="center"/>
            <w:hideMark/>
          </w:tcPr>
          <w:p w:rsidR="00CA1F07" w:rsidRPr="00793600" w:rsidRDefault="00CA1F07" w:rsidP="00CA1F07">
            <w:pPr>
              <w:spacing w:line="256" w:lineRule="auto"/>
              <w:rPr>
                <w:rFonts w:eastAsia="Times New Roman"/>
                <w:sz w:val="24"/>
                <w:szCs w:val="24"/>
              </w:rPr>
            </w:pPr>
          </w:p>
        </w:tc>
        <w:tc>
          <w:tcPr>
            <w:tcW w:w="130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07" w:rsidRPr="00793600" w:rsidRDefault="00CA1F07" w:rsidP="00CA1F07">
            <w:pPr>
              <w:spacing w:line="320" w:lineRule="atLeast"/>
              <w:rPr>
                <w:sz w:val="24"/>
                <w:szCs w:val="24"/>
              </w:rPr>
            </w:pPr>
            <w:r w:rsidRPr="00793600">
              <w:rPr>
                <w:sz w:val="24"/>
                <w:szCs w:val="24"/>
              </w:rPr>
              <w:t>Total</w:t>
            </w:r>
          </w:p>
        </w:tc>
        <w:tc>
          <w:tcPr>
            <w:tcW w:w="179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.894</w:t>
            </w:r>
          </w:p>
        </w:tc>
        <w:tc>
          <w:tcPr>
            <w:tcW w:w="1245"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07" w:rsidRPr="00793600" w:rsidRDefault="00CA1F07" w:rsidP="00CA1F07">
            <w:pPr>
              <w:spacing w:line="320" w:lineRule="atLeast"/>
              <w:jc w:val="right"/>
              <w:rPr>
                <w:sz w:val="24"/>
                <w:szCs w:val="24"/>
              </w:rPr>
            </w:pPr>
            <w:r w:rsidRPr="00793600">
              <w:rPr>
                <w:sz w:val="24"/>
                <w:szCs w:val="24"/>
              </w:rPr>
              <w:t>34</w:t>
            </w:r>
          </w:p>
        </w:tc>
        <w:tc>
          <w:tcPr>
            <w:tcW w:w="1725"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c>
          <w:tcPr>
            <w:tcW w:w="892"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c>
          <w:tcPr>
            <w:tcW w:w="943"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r>
      <w:tr w:rsidR="00CA1F07" w:rsidRPr="00793600" w:rsidTr="00CA1F07">
        <w:trPr>
          <w:cantSplit/>
          <w:trHeight w:val="286"/>
        </w:trPr>
        <w:tc>
          <w:tcPr>
            <w:tcW w:w="5269" w:type="dxa"/>
            <w:gridSpan w:val="6"/>
            <w:tcBorders>
              <w:top w:val="nil"/>
              <w:left w:val="nil"/>
              <w:bottom w:val="nil"/>
              <w:right w:val="nil"/>
            </w:tcBorders>
            <w:shd w:val="clear" w:color="auto" w:fill="FFFFFF"/>
            <w:tcMar>
              <w:top w:w="30" w:type="dxa"/>
              <w:left w:w="30" w:type="dxa"/>
              <w:bottom w:w="30" w:type="dxa"/>
              <w:right w:w="30" w:type="dxa"/>
            </w:tcMar>
            <w:hideMark/>
          </w:tcPr>
          <w:p w:rsidR="00CA1F07" w:rsidRPr="00793600" w:rsidRDefault="00CA1F07" w:rsidP="00CA1F07">
            <w:pPr>
              <w:spacing w:line="320" w:lineRule="atLeast"/>
              <w:rPr>
                <w:sz w:val="24"/>
                <w:szCs w:val="24"/>
              </w:rPr>
            </w:pPr>
            <w:r w:rsidRPr="00793600">
              <w:rPr>
                <w:sz w:val="24"/>
                <w:szCs w:val="24"/>
              </w:rPr>
              <w:t>a. Predictors: (Constant), TATO, CR, DER</w:t>
            </w:r>
          </w:p>
        </w:tc>
        <w:tc>
          <w:tcPr>
            <w:tcW w:w="1725" w:type="dxa"/>
            <w:gridSpan w:val="2"/>
            <w:tcBorders>
              <w:top w:val="nil"/>
              <w:left w:val="nil"/>
              <w:bottom w:val="nil"/>
              <w:right w:val="nil"/>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c>
          <w:tcPr>
            <w:tcW w:w="928" w:type="dxa"/>
            <w:gridSpan w:val="2"/>
            <w:tcBorders>
              <w:top w:val="nil"/>
              <w:left w:val="nil"/>
              <w:bottom w:val="nil"/>
              <w:right w:val="nil"/>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c>
          <w:tcPr>
            <w:tcW w:w="956" w:type="dxa"/>
            <w:gridSpan w:val="2"/>
            <w:tcBorders>
              <w:top w:val="nil"/>
              <w:left w:val="nil"/>
              <w:bottom w:val="nil"/>
              <w:right w:val="nil"/>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r>
      <w:tr w:rsidR="00CA1F07" w:rsidRPr="00793600" w:rsidTr="00CA1F07">
        <w:trPr>
          <w:cantSplit/>
          <w:trHeight w:val="295"/>
        </w:trPr>
        <w:tc>
          <w:tcPr>
            <w:tcW w:w="4023" w:type="dxa"/>
            <w:gridSpan w:val="4"/>
            <w:tcBorders>
              <w:top w:val="nil"/>
              <w:left w:val="nil"/>
              <w:bottom w:val="nil"/>
              <w:right w:val="nil"/>
            </w:tcBorders>
            <w:shd w:val="clear" w:color="auto" w:fill="FFFFFF"/>
            <w:tcMar>
              <w:top w:w="30" w:type="dxa"/>
              <w:left w:w="30" w:type="dxa"/>
              <w:bottom w:w="30" w:type="dxa"/>
              <w:right w:w="30" w:type="dxa"/>
            </w:tcMar>
            <w:hideMark/>
          </w:tcPr>
          <w:p w:rsidR="00CA1F07" w:rsidRPr="00793600" w:rsidRDefault="00CA1F07" w:rsidP="00CA1F07">
            <w:pPr>
              <w:spacing w:line="320" w:lineRule="atLeast"/>
              <w:rPr>
                <w:sz w:val="24"/>
                <w:szCs w:val="24"/>
              </w:rPr>
            </w:pPr>
            <w:r w:rsidRPr="00793600">
              <w:rPr>
                <w:sz w:val="24"/>
                <w:szCs w:val="24"/>
              </w:rPr>
              <w:t>b. Dependent Variable: ROE</w:t>
            </w:r>
          </w:p>
        </w:tc>
        <w:tc>
          <w:tcPr>
            <w:tcW w:w="1246" w:type="dxa"/>
            <w:gridSpan w:val="2"/>
            <w:tcBorders>
              <w:top w:val="nil"/>
              <w:left w:val="nil"/>
              <w:bottom w:val="nil"/>
              <w:right w:val="nil"/>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c>
          <w:tcPr>
            <w:tcW w:w="1725" w:type="dxa"/>
            <w:gridSpan w:val="2"/>
            <w:tcBorders>
              <w:top w:val="nil"/>
              <w:left w:val="nil"/>
              <w:bottom w:val="nil"/>
              <w:right w:val="nil"/>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c>
          <w:tcPr>
            <w:tcW w:w="928" w:type="dxa"/>
            <w:gridSpan w:val="2"/>
            <w:tcBorders>
              <w:top w:val="nil"/>
              <w:left w:val="nil"/>
              <w:bottom w:val="nil"/>
              <w:right w:val="nil"/>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c>
          <w:tcPr>
            <w:tcW w:w="956" w:type="dxa"/>
            <w:gridSpan w:val="2"/>
            <w:tcBorders>
              <w:top w:val="nil"/>
              <w:left w:val="nil"/>
              <w:bottom w:val="nil"/>
              <w:right w:val="nil"/>
            </w:tcBorders>
            <w:shd w:val="clear" w:color="auto" w:fill="FFFFFF"/>
            <w:tcMar>
              <w:top w:w="30" w:type="dxa"/>
              <w:left w:w="30" w:type="dxa"/>
              <w:bottom w:w="30" w:type="dxa"/>
              <w:right w:w="30" w:type="dxa"/>
            </w:tcMar>
          </w:tcPr>
          <w:p w:rsidR="00CA1F07" w:rsidRPr="00793600" w:rsidRDefault="00CA1F07" w:rsidP="00CA1F07">
            <w:pPr>
              <w:spacing w:line="256" w:lineRule="auto"/>
              <w:rPr>
                <w:sz w:val="24"/>
                <w:szCs w:val="24"/>
              </w:rPr>
            </w:pPr>
          </w:p>
        </w:tc>
      </w:tr>
    </w:tbl>
    <w:p w:rsidR="00CA1F07" w:rsidRDefault="00000088" w:rsidP="00CA1F07">
      <w:pPr>
        <w:ind w:firstLine="720"/>
        <w:rPr>
          <w:rFonts w:eastAsia="Arial Unicode MS"/>
          <w:bCs/>
          <w:sz w:val="24"/>
          <w:szCs w:val="24"/>
        </w:rPr>
      </w:pPr>
      <w:r w:rsidRPr="00B5003E">
        <w:rPr>
          <w:rFonts w:eastAsia="Arial Unicode MS"/>
          <w:bCs/>
          <w:sz w:val="24"/>
          <w:szCs w:val="24"/>
        </w:rPr>
        <w:t>From the res</w:t>
      </w:r>
      <w:r w:rsidR="00CA1F07">
        <w:rPr>
          <w:rFonts w:eastAsia="Arial Unicode MS"/>
          <w:bCs/>
          <w:sz w:val="24"/>
          <w:szCs w:val="24"/>
        </w:rPr>
        <w:t xml:space="preserve">ults of data processing above, </w:t>
      </w:r>
    </w:p>
    <w:p w:rsidR="00000088" w:rsidRPr="00B5003E" w:rsidRDefault="00CA1F07" w:rsidP="00724815">
      <w:pPr>
        <w:ind w:firstLine="720"/>
        <w:jc w:val="both"/>
        <w:rPr>
          <w:sz w:val="24"/>
          <w:szCs w:val="24"/>
        </w:rPr>
      </w:pPr>
      <w:r>
        <w:rPr>
          <w:rFonts w:eastAsia="Arial Unicode MS"/>
          <w:bCs/>
          <w:sz w:val="24"/>
          <w:szCs w:val="24"/>
        </w:rPr>
        <w:t xml:space="preserve">It can be seen that </w:t>
      </w:r>
      <w:proofErr w:type="spellStart"/>
      <w:r>
        <w:rPr>
          <w:rFonts w:eastAsia="Arial Unicode MS"/>
          <w:bCs/>
          <w:sz w:val="24"/>
          <w:szCs w:val="24"/>
        </w:rPr>
        <w:t>F</w:t>
      </w:r>
      <w:r w:rsidR="00000088" w:rsidRPr="00CA1F07">
        <w:rPr>
          <w:rFonts w:eastAsia="Arial Unicode MS"/>
          <w:bCs/>
          <w:sz w:val="24"/>
          <w:szCs w:val="24"/>
          <w:vertAlign w:val="subscript"/>
        </w:rPr>
        <w:t>count</w:t>
      </w:r>
      <w:proofErr w:type="spellEnd"/>
      <w:r>
        <w:rPr>
          <w:rFonts w:eastAsia="Arial Unicode MS"/>
          <w:bCs/>
          <w:sz w:val="24"/>
          <w:szCs w:val="24"/>
        </w:rPr>
        <w:t xml:space="preserve"> 10,431&gt; from </w:t>
      </w:r>
      <w:proofErr w:type="spellStart"/>
      <w:r>
        <w:rPr>
          <w:rFonts w:eastAsia="Arial Unicode MS"/>
          <w:bCs/>
          <w:sz w:val="24"/>
          <w:szCs w:val="24"/>
        </w:rPr>
        <w:t>F</w:t>
      </w:r>
      <w:r w:rsidR="00000088" w:rsidRPr="00CA1F07">
        <w:rPr>
          <w:rFonts w:eastAsia="Arial Unicode MS"/>
          <w:bCs/>
          <w:sz w:val="24"/>
          <w:szCs w:val="24"/>
          <w:vertAlign w:val="subscript"/>
        </w:rPr>
        <w:t>table</w:t>
      </w:r>
      <w:proofErr w:type="spellEnd"/>
      <w:r w:rsidR="00000088" w:rsidRPr="00B5003E">
        <w:rPr>
          <w:rFonts w:eastAsia="Arial Unicode MS"/>
          <w:bCs/>
          <w:sz w:val="24"/>
          <w:szCs w:val="24"/>
        </w:rPr>
        <w:t xml:space="preserve"> = 2.91 (see</w:t>
      </w:r>
      <w:r>
        <w:rPr>
          <w:sz w:val="24"/>
          <w:szCs w:val="24"/>
        </w:rPr>
        <w:t xml:space="preserve"> </w:t>
      </w:r>
      <w:r w:rsidR="00000088" w:rsidRPr="00B5003E">
        <w:rPr>
          <w:rFonts w:eastAsia="Arial Unicode MS"/>
          <w:bCs/>
          <w:sz w:val="24"/>
          <w:szCs w:val="24"/>
        </w:rPr>
        <w:t xml:space="preserve">table F for N </w:t>
      </w:r>
      <w:r>
        <w:rPr>
          <w:rFonts w:eastAsia="Arial Unicode MS"/>
          <w:bCs/>
          <w:sz w:val="24"/>
          <w:szCs w:val="24"/>
        </w:rPr>
        <w:t xml:space="preserve">= 31) with a </w:t>
      </w:r>
      <w:r w:rsidR="00000088" w:rsidRPr="00B5003E">
        <w:rPr>
          <w:rFonts w:eastAsia="Arial Unicode MS"/>
          <w:bCs/>
          <w:sz w:val="24"/>
          <w:szCs w:val="24"/>
        </w:rPr>
        <w:t xml:space="preserve">probability value that is sig is equal to 0.000 &lt;0.05. This means that the results above indicate that there is a significant effect simultaneously </w:t>
      </w:r>
      <w:r w:rsidR="00000088" w:rsidRPr="00B5003E">
        <w:rPr>
          <w:rFonts w:eastAsia="Arial Unicode MS"/>
          <w:bCs/>
          <w:i/>
          <w:iCs/>
          <w:sz w:val="24"/>
          <w:szCs w:val="24"/>
        </w:rPr>
        <w:t xml:space="preserve">Current Ratio </w:t>
      </w:r>
      <w:r w:rsidR="00000088" w:rsidRPr="00724815">
        <w:rPr>
          <w:rFonts w:eastAsia="Arial Unicode MS"/>
          <w:bCs/>
          <w:iCs/>
          <w:sz w:val="24"/>
          <w:szCs w:val="24"/>
        </w:rPr>
        <w:t>(</w:t>
      </w:r>
      <w:r w:rsidR="00000088" w:rsidRPr="00B5003E">
        <w:rPr>
          <w:rFonts w:eastAsia="Arial Unicode MS"/>
          <w:bCs/>
          <w:sz w:val="24"/>
          <w:szCs w:val="24"/>
        </w:rPr>
        <w:t>CR),</w:t>
      </w:r>
      <w:r w:rsidR="00724815">
        <w:rPr>
          <w:sz w:val="24"/>
          <w:szCs w:val="24"/>
        </w:rPr>
        <w:t xml:space="preserve"> </w:t>
      </w:r>
      <w:r w:rsidR="00000088" w:rsidRPr="00B5003E">
        <w:rPr>
          <w:rFonts w:eastAsia="Arial Unicode MS"/>
          <w:bCs/>
          <w:i/>
          <w:iCs/>
          <w:sz w:val="24"/>
          <w:szCs w:val="24"/>
        </w:rPr>
        <w:t xml:space="preserve">Debt To Equity Ratio </w:t>
      </w:r>
      <w:r w:rsidR="00000088" w:rsidRPr="00724815">
        <w:rPr>
          <w:rFonts w:eastAsia="Arial Unicode MS"/>
          <w:bCs/>
          <w:iCs/>
          <w:sz w:val="24"/>
          <w:szCs w:val="24"/>
        </w:rPr>
        <w:t>(</w:t>
      </w:r>
      <w:r w:rsidR="00000088" w:rsidRPr="00B5003E">
        <w:rPr>
          <w:rFonts w:eastAsia="Arial Unicode MS"/>
          <w:bCs/>
          <w:sz w:val="24"/>
          <w:szCs w:val="24"/>
        </w:rPr>
        <w:t>DER) and</w:t>
      </w:r>
      <w:r w:rsidR="00000088" w:rsidRPr="00B5003E">
        <w:rPr>
          <w:rFonts w:eastAsia="Arial Unicode MS"/>
          <w:bCs/>
          <w:i/>
          <w:iCs/>
          <w:sz w:val="24"/>
          <w:szCs w:val="24"/>
        </w:rPr>
        <w:t xml:space="preserve"> Total Asset Turnover </w:t>
      </w:r>
      <w:r w:rsidR="00000088" w:rsidRPr="00B5003E">
        <w:rPr>
          <w:rFonts w:eastAsia="Arial Unicode MS"/>
          <w:bCs/>
          <w:sz w:val="24"/>
          <w:szCs w:val="24"/>
        </w:rPr>
        <w:t>to</w:t>
      </w:r>
      <w:r w:rsidR="00000088" w:rsidRPr="00B5003E">
        <w:rPr>
          <w:rFonts w:eastAsia="Arial Unicode MS"/>
          <w:bCs/>
          <w:i/>
          <w:iCs/>
          <w:sz w:val="24"/>
          <w:szCs w:val="24"/>
        </w:rPr>
        <w:t xml:space="preserve"> Return On Equity ( </w:t>
      </w:r>
      <w:r w:rsidR="00000088" w:rsidRPr="00B5003E">
        <w:rPr>
          <w:rFonts w:eastAsia="Arial Unicode MS"/>
          <w:bCs/>
          <w:sz w:val="24"/>
          <w:szCs w:val="24"/>
        </w:rPr>
        <w:t xml:space="preserve">ROE) in Transportation Sector </w:t>
      </w:r>
      <w:proofErr w:type="spellStart"/>
      <w:r w:rsidR="00000088" w:rsidRPr="00B5003E">
        <w:rPr>
          <w:rFonts w:eastAsia="Arial Unicode MS"/>
          <w:bCs/>
          <w:sz w:val="24"/>
          <w:szCs w:val="24"/>
        </w:rPr>
        <w:t>companieslisted</w:t>
      </w:r>
      <w:proofErr w:type="spellEnd"/>
      <w:r w:rsidR="00000088" w:rsidRPr="00B5003E">
        <w:rPr>
          <w:rFonts w:eastAsia="Arial Unicode MS"/>
          <w:bCs/>
          <w:sz w:val="24"/>
          <w:szCs w:val="24"/>
        </w:rPr>
        <w:t xml:space="preserve"> on the Indonesia Stock Exchange for the period 2015 - 2019.</w:t>
      </w:r>
    </w:p>
    <w:p w:rsidR="00724815" w:rsidRDefault="00000088" w:rsidP="00724815">
      <w:pPr>
        <w:ind w:left="20"/>
        <w:rPr>
          <w:b/>
          <w:sz w:val="24"/>
          <w:szCs w:val="24"/>
        </w:rPr>
      </w:pPr>
      <w:r w:rsidRPr="00B5003E">
        <w:rPr>
          <w:rFonts w:eastAsia="Arial Unicode MS"/>
          <w:b/>
          <w:bCs/>
          <w:sz w:val="24"/>
          <w:szCs w:val="24"/>
        </w:rPr>
        <w:lastRenderedPageBreak/>
        <w:t xml:space="preserve">The </w:t>
      </w:r>
      <w:r w:rsidR="00724815">
        <w:rPr>
          <w:rFonts w:eastAsia="Arial Unicode MS"/>
          <w:b/>
          <w:bCs/>
          <w:sz w:val="24"/>
          <w:szCs w:val="24"/>
        </w:rPr>
        <w:t>Coefficient of Determination (R</w:t>
      </w:r>
      <w:r w:rsidRPr="00724815">
        <w:rPr>
          <w:rFonts w:eastAsia="Arial Unicode MS"/>
          <w:b/>
          <w:bCs/>
          <w:sz w:val="24"/>
          <w:szCs w:val="24"/>
          <w:vertAlign w:val="superscript"/>
        </w:rPr>
        <w:t>2</w:t>
      </w:r>
      <w:r w:rsidRPr="00B5003E">
        <w:rPr>
          <w:rFonts w:eastAsia="Arial Unicode MS"/>
          <w:b/>
          <w:bCs/>
          <w:sz w:val="24"/>
          <w:szCs w:val="24"/>
        </w:rPr>
        <w:t>)</w:t>
      </w:r>
    </w:p>
    <w:p w:rsidR="00000088" w:rsidRDefault="00000088" w:rsidP="00724815">
      <w:pPr>
        <w:ind w:left="20" w:firstLine="700"/>
        <w:jc w:val="both"/>
        <w:rPr>
          <w:rFonts w:eastAsia="Arial Unicode MS"/>
          <w:bCs/>
          <w:i/>
          <w:iCs/>
          <w:sz w:val="24"/>
          <w:szCs w:val="24"/>
        </w:rPr>
      </w:pPr>
      <w:r w:rsidRPr="00B5003E">
        <w:rPr>
          <w:rFonts w:eastAsia="Arial Unicode MS"/>
          <w:bCs/>
          <w:sz w:val="24"/>
          <w:szCs w:val="24"/>
        </w:rPr>
        <w:t xml:space="preserve">The coefficient of determination is used to determine how much influence the independent variables have on the dependent variable. The value of the efficiency of determination is determined by value </w:t>
      </w:r>
      <w:r w:rsidRPr="00B5003E">
        <w:rPr>
          <w:rFonts w:eastAsia="Arial Unicode MS"/>
          <w:bCs/>
          <w:i/>
          <w:iCs/>
          <w:sz w:val="24"/>
          <w:szCs w:val="24"/>
        </w:rPr>
        <w:t>R square.</w:t>
      </w:r>
    </w:p>
    <w:p w:rsidR="00724815" w:rsidRPr="00724815" w:rsidRDefault="00724815" w:rsidP="00724815">
      <w:pPr>
        <w:ind w:left="20" w:firstLine="700"/>
        <w:jc w:val="both"/>
        <w:rPr>
          <w:b/>
          <w:sz w:val="24"/>
          <w:szCs w:val="24"/>
        </w:rPr>
      </w:pPr>
    </w:p>
    <w:p w:rsidR="00724815" w:rsidRPr="00B5003E" w:rsidRDefault="00724815" w:rsidP="00724815">
      <w:pPr>
        <w:ind w:left="2900"/>
        <w:rPr>
          <w:sz w:val="24"/>
          <w:szCs w:val="24"/>
        </w:rPr>
      </w:pPr>
      <w:proofErr w:type="gramStart"/>
      <w:r w:rsidRPr="00B5003E">
        <w:rPr>
          <w:rFonts w:eastAsia="Arial Unicode MS"/>
          <w:bCs/>
          <w:sz w:val="24"/>
          <w:szCs w:val="24"/>
        </w:rPr>
        <w:t>Table 5.</w:t>
      </w:r>
      <w:proofErr w:type="gramEnd"/>
      <w:r w:rsidRPr="00B5003E">
        <w:rPr>
          <w:rFonts w:eastAsia="Arial Unicode MS"/>
          <w:bCs/>
          <w:sz w:val="24"/>
          <w:szCs w:val="24"/>
        </w:rPr>
        <w:t xml:space="preserve"> Coefficient of Determination</w:t>
      </w:r>
    </w:p>
    <w:tbl>
      <w:tblPr>
        <w:tblW w:w="7440" w:type="dxa"/>
        <w:tblInd w:w="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245"/>
        <w:gridCol w:w="1438"/>
        <w:gridCol w:w="1579"/>
        <w:gridCol w:w="1457"/>
        <w:gridCol w:w="1721"/>
      </w:tblGrid>
      <w:tr w:rsidR="00724815" w:rsidRPr="00793600" w:rsidTr="00543A75">
        <w:trPr>
          <w:cantSplit/>
          <w:trHeight w:val="520"/>
          <w:tblHeader/>
        </w:trPr>
        <w:tc>
          <w:tcPr>
            <w:tcW w:w="1245" w:type="dxa"/>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724815" w:rsidRPr="00793600" w:rsidRDefault="00724815" w:rsidP="00543A75">
            <w:pPr>
              <w:spacing w:line="320" w:lineRule="atLeast"/>
              <w:rPr>
                <w:rFonts w:eastAsia="Times New Roman"/>
                <w:sz w:val="24"/>
                <w:szCs w:val="24"/>
              </w:rPr>
            </w:pPr>
            <w:r w:rsidRPr="00793600">
              <w:rPr>
                <w:sz w:val="24"/>
                <w:szCs w:val="24"/>
              </w:rPr>
              <w:t>Model</w:t>
            </w:r>
          </w:p>
        </w:tc>
        <w:tc>
          <w:tcPr>
            <w:tcW w:w="1438" w:type="dxa"/>
            <w:vMerge w:val="restar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24815" w:rsidRPr="00793600" w:rsidRDefault="00724815" w:rsidP="00543A75">
            <w:pPr>
              <w:spacing w:line="320" w:lineRule="atLeast"/>
              <w:jc w:val="center"/>
              <w:rPr>
                <w:sz w:val="24"/>
                <w:szCs w:val="24"/>
              </w:rPr>
            </w:pPr>
            <w:r w:rsidRPr="00793600">
              <w:rPr>
                <w:sz w:val="24"/>
                <w:szCs w:val="24"/>
              </w:rPr>
              <w:t>R</w:t>
            </w:r>
          </w:p>
        </w:tc>
        <w:tc>
          <w:tcPr>
            <w:tcW w:w="1579"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24815" w:rsidRPr="00793600" w:rsidRDefault="00724815" w:rsidP="00543A75">
            <w:pPr>
              <w:spacing w:line="320" w:lineRule="atLeast"/>
              <w:jc w:val="center"/>
              <w:rPr>
                <w:sz w:val="24"/>
                <w:szCs w:val="24"/>
              </w:rPr>
            </w:pPr>
            <w:r w:rsidRPr="00793600">
              <w:rPr>
                <w:sz w:val="24"/>
                <w:szCs w:val="24"/>
              </w:rPr>
              <w:t>R Square</w:t>
            </w:r>
          </w:p>
        </w:tc>
        <w:tc>
          <w:tcPr>
            <w:tcW w:w="1457"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24815" w:rsidRPr="00793600" w:rsidRDefault="00724815" w:rsidP="00543A75">
            <w:pPr>
              <w:spacing w:line="320" w:lineRule="atLeast"/>
              <w:jc w:val="center"/>
              <w:rPr>
                <w:sz w:val="24"/>
                <w:szCs w:val="24"/>
              </w:rPr>
            </w:pPr>
            <w:r w:rsidRPr="00793600">
              <w:rPr>
                <w:sz w:val="24"/>
                <w:szCs w:val="24"/>
              </w:rPr>
              <w:t>Adjusted R Square</w:t>
            </w:r>
          </w:p>
        </w:tc>
        <w:tc>
          <w:tcPr>
            <w:tcW w:w="1721"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24815" w:rsidRPr="00793600" w:rsidRDefault="00724815" w:rsidP="00543A75">
            <w:pPr>
              <w:spacing w:line="320" w:lineRule="atLeast"/>
              <w:jc w:val="center"/>
              <w:rPr>
                <w:sz w:val="24"/>
                <w:szCs w:val="24"/>
              </w:rPr>
            </w:pPr>
            <w:r w:rsidRPr="00793600">
              <w:rPr>
                <w:sz w:val="24"/>
                <w:szCs w:val="24"/>
              </w:rPr>
              <w:t>Std. Error of the Estimate</w:t>
            </w:r>
          </w:p>
        </w:tc>
      </w:tr>
      <w:tr w:rsidR="00724815" w:rsidRPr="00793600" w:rsidTr="00543A75">
        <w:trPr>
          <w:cantSplit/>
          <w:trHeight w:val="517"/>
          <w:tblHeader/>
        </w:trPr>
        <w:tc>
          <w:tcPr>
            <w:tcW w:w="1245" w:type="dxa"/>
            <w:vMerge/>
            <w:tcBorders>
              <w:top w:val="single" w:sz="18" w:space="0" w:color="000000"/>
              <w:left w:val="single" w:sz="18" w:space="0" w:color="000000"/>
              <w:bottom w:val="single" w:sz="18" w:space="0" w:color="000000"/>
              <w:right w:val="single" w:sz="18" w:space="0" w:color="000000"/>
            </w:tcBorders>
            <w:vAlign w:val="center"/>
            <w:hideMark/>
          </w:tcPr>
          <w:p w:rsidR="00724815" w:rsidRPr="00793600" w:rsidRDefault="00724815" w:rsidP="00543A75">
            <w:pPr>
              <w:spacing w:line="256" w:lineRule="auto"/>
              <w:rPr>
                <w:rFonts w:eastAsia="Times New Roman"/>
                <w:sz w:val="24"/>
                <w:szCs w:val="24"/>
              </w:rPr>
            </w:pPr>
          </w:p>
        </w:tc>
        <w:tc>
          <w:tcPr>
            <w:tcW w:w="1438" w:type="dxa"/>
            <w:vMerge/>
            <w:tcBorders>
              <w:top w:val="single" w:sz="18" w:space="0" w:color="000000"/>
              <w:left w:val="single" w:sz="18" w:space="0" w:color="000000"/>
              <w:bottom w:val="single" w:sz="18" w:space="0" w:color="000000"/>
              <w:right w:val="single" w:sz="8" w:space="0" w:color="000000"/>
            </w:tcBorders>
            <w:vAlign w:val="center"/>
            <w:hideMark/>
          </w:tcPr>
          <w:p w:rsidR="00724815" w:rsidRPr="00793600" w:rsidRDefault="00724815" w:rsidP="00543A75">
            <w:pPr>
              <w:spacing w:line="256" w:lineRule="auto"/>
              <w:rPr>
                <w:rFonts w:eastAsia="Times New Roman"/>
                <w:sz w:val="24"/>
                <w:szCs w:val="24"/>
              </w:rPr>
            </w:pPr>
          </w:p>
        </w:tc>
        <w:tc>
          <w:tcPr>
            <w:tcW w:w="1579" w:type="dxa"/>
            <w:vMerge/>
            <w:tcBorders>
              <w:top w:val="single" w:sz="18" w:space="0" w:color="000000"/>
              <w:left w:val="single" w:sz="8" w:space="0" w:color="000000"/>
              <w:bottom w:val="single" w:sz="18" w:space="0" w:color="000000"/>
              <w:right w:val="single" w:sz="8" w:space="0" w:color="000000"/>
            </w:tcBorders>
            <w:vAlign w:val="center"/>
            <w:hideMark/>
          </w:tcPr>
          <w:p w:rsidR="00724815" w:rsidRPr="00793600" w:rsidRDefault="00724815" w:rsidP="00543A75">
            <w:pPr>
              <w:spacing w:line="256" w:lineRule="auto"/>
              <w:rPr>
                <w:rFonts w:eastAsia="Times New Roman"/>
                <w:sz w:val="24"/>
                <w:szCs w:val="24"/>
              </w:rPr>
            </w:pPr>
          </w:p>
        </w:tc>
        <w:tc>
          <w:tcPr>
            <w:tcW w:w="1457" w:type="dxa"/>
            <w:vMerge/>
            <w:tcBorders>
              <w:top w:val="single" w:sz="18" w:space="0" w:color="000000"/>
              <w:left w:val="single" w:sz="8" w:space="0" w:color="000000"/>
              <w:bottom w:val="single" w:sz="18" w:space="0" w:color="000000"/>
              <w:right w:val="single" w:sz="8" w:space="0" w:color="000000"/>
            </w:tcBorders>
            <w:vAlign w:val="center"/>
            <w:hideMark/>
          </w:tcPr>
          <w:p w:rsidR="00724815" w:rsidRPr="00793600" w:rsidRDefault="00724815" w:rsidP="00543A75">
            <w:pPr>
              <w:spacing w:line="256" w:lineRule="auto"/>
              <w:rPr>
                <w:rFonts w:eastAsia="Times New Roman"/>
                <w:sz w:val="24"/>
                <w:szCs w:val="24"/>
              </w:rPr>
            </w:pPr>
          </w:p>
        </w:tc>
        <w:tc>
          <w:tcPr>
            <w:tcW w:w="1721" w:type="dxa"/>
            <w:vMerge/>
            <w:tcBorders>
              <w:top w:val="single" w:sz="18" w:space="0" w:color="000000"/>
              <w:left w:val="single" w:sz="8" w:space="0" w:color="000000"/>
              <w:bottom w:val="single" w:sz="18" w:space="0" w:color="000000"/>
              <w:right w:val="single" w:sz="8" w:space="0" w:color="000000"/>
            </w:tcBorders>
            <w:vAlign w:val="center"/>
            <w:hideMark/>
          </w:tcPr>
          <w:p w:rsidR="00724815" w:rsidRPr="00793600" w:rsidRDefault="00724815" w:rsidP="00543A75">
            <w:pPr>
              <w:spacing w:line="256" w:lineRule="auto"/>
              <w:rPr>
                <w:rFonts w:eastAsia="Times New Roman"/>
                <w:sz w:val="24"/>
                <w:szCs w:val="24"/>
              </w:rPr>
            </w:pPr>
          </w:p>
        </w:tc>
      </w:tr>
      <w:tr w:rsidR="00724815" w:rsidRPr="00793600" w:rsidTr="00543A75">
        <w:trPr>
          <w:cantSplit/>
          <w:tblHeader/>
        </w:trPr>
        <w:tc>
          <w:tcPr>
            <w:tcW w:w="1245"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724815" w:rsidRPr="00793600" w:rsidRDefault="00724815" w:rsidP="00543A75">
            <w:pPr>
              <w:spacing w:line="320" w:lineRule="atLeast"/>
              <w:rPr>
                <w:sz w:val="24"/>
                <w:szCs w:val="24"/>
              </w:rPr>
            </w:pPr>
            <w:r w:rsidRPr="00793600">
              <w:rPr>
                <w:sz w:val="24"/>
                <w:szCs w:val="24"/>
              </w:rPr>
              <w:t>1</w:t>
            </w:r>
          </w:p>
        </w:tc>
        <w:tc>
          <w:tcPr>
            <w:tcW w:w="143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24815" w:rsidRPr="00793600" w:rsidRDefault="00724815" w:rsidP="00543A75">
            <w:pPr>
              <w:spacing w:line="320" w:lineRule="atLeast"/>
              <w:jc w:val="right"/>
              <w:rPr>
                <w:sz w:val="24"/>
                <w:szCs w:val="24"/>
              </w:rPr>
            </w:pPr>
            <w:r w:rsidRPr="00793600">
              <w:rPr>
                <w:sz w:val="24"/>
                <w:szCs w:val="24"/>
              </w:rPr>
              <w:t>.709</w:t>
            </w:r>
            <w:r w:rsidRPr="00793600">
              <w:rPr>
                <w:sz w:val="24"/>
                <w:szCs w:val="24"/>
                <w:vertAlign w:val="superscript"/>
              </w:rPr>
              <w:t>a</w:t>
            </w:r>
          </w:p>
        </w:tc>
        <w:tc>
          <w:tcPr>
            <w:tcW w:w="157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24815" w:rsidRPr="00793600" w:rsidRDefault="00724815" w:rsidP="00543A75">
            <w:pPr>
              <w:spacing w:line="320" w:lineRule="atLeast"/>
              <w:jc w:val="right"/>
              <w:rPr>
                <w:sz w:val="24"/>
                <w:szCs w:val="24"/>
              </w:rPr>
            </w:pPr>
            <w:r w:rsidRPr="00793600">
              <w:rPr>
                <w:sz w:val="24"/>
                <w:szCs w:val="24"/>
              </w:rPr>
              <w:t>.502</w:t>
            </w:r>
          </w:p>
        </w:tc>
        <w:tc>
          <w:tcPr>
            <w:tcW w:w="145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24815" w:rsidRPr="00793600" w:rsidRDefault="00724815" w:rsidP="00543A75">
            <w:pPr>
              <w:spacing w:line="320" w:lineRule="atLeast"/>
              <w:jc w:val="right"/>
              <w:rPr>
                <w:sz w:val="24"/>
                <w:szCs w:val="24"/>
              </w:rPr>
            </w:pPr>
            <w:r w:rsidRPr="00793600">
              <w:rPr>
                <w:sz w:val="24"/>
                <w:szCs w:val="24"/>
              </w:rPr>
              <w:t>.454</w:t>
            </w:r>
          </w:p>
        </w:tc>
        <w:tc>
          <w:tcPr>
            <w:tcW w:w="172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24815" w:rsidRPr="00793600" w:rsidRDefault="00724815" w:rsidP="00543A75">
            <w:pPr>
              <w:spacing w:line="320" w:lineRule="atLeast"/>
              <w:rPr>
                <w:sz w:val="24"/>
                <w:szCs w:val="24"/>
              </w:rPr>
            </w:pPr>
            <w:r w:rsidRPr="00793600">
              <w:rPr>
                <w:sz w:val="24"/>
                <w:szCs w:val="24"/>
              </w:rPr>
              <w:t>,11979381</w:t>
            </w:r>
          </w:p>
        </w:tc>
      </w:tr>
      <w:tr w:rsidR="00724815" w:rsidRPr="00793600" w:rsidTr="00543A75">
        <w:trPr>
          <w:cantSplit/>
        </w:trPr>
        <w:tc>
          <w:tcPr>
            <w:tcW w:w="5719" w:type="dxa"/>
            <w:gridSpan w:val="4"/>
            <w:tcBorders>
              <w:top w:val="nil"/>
              <w:left w:val="nil"/>
              <w:bottom w:val="nil"/>
              <w:right w:val="nil"/>
            </w:tcBorders>
            <w:shd w:val="clear" w:color="auto" w:fill="FFFFFF"/>
            <w:tcMar>
              <w:top w:w="30" w:type="dxa"/>
              <w:left w:w="30" w:type="dxa"/>
              <w:bottom w:w="30" w:type="dxa"/>
              <w:right w:w="30" w:type="dxa"/>
            </w:tcMar>
            <w:hideMark/>
          </w:tcPr>
          <w:p w:rsidR="00724815" w:rsidRPr="00793600" w:rsidRDefault="00724815" w:rsidP="00543A75">
            <w:pPr>
              <w:spacing w:line="320" w:lineRule="atLeast"/>
              <w:rPr>
                <w:sz w:val="24"/>
                <w:szCs w:val="24"/>
              </w:rPr>
            </w:pPr>
            <w:r w:rsidRPr="00793600">
              <w:rPr>
                <w:sz w:val="24"/>
                <w:szCs w:val="24"/>
              </w:rPr>
              <w:t>a. Predictors: (Constant), TATO, CR, DER</w:t>
            </w:r>
          </w:p>
        </w:tc>
        <w:tc>
          <w:tcPr>
            <w:tcW w:w="1721" w:type="dxa"/>
            <w:tcBorders>
              <w:top w:val="nil"/>
              <w:left w:val="nil"/>
              <w:bottom w:val="nil"/>
              <w:right w:val="nil"/>
            </w:tcBorders>
            <w:shd w:val="clear" w:color="auto" w:fill="FFFFFF"/>
            <w:tcMar>
              <w:top w:w="30" w:type="dxa"/>
              <w:left w:w="30" w:type="dxa"/>
              <w:bottom w:w="30" w:type="dxa"/>
              <w:right w:w="30" w:type="dxa"/>
            </w:tcMar>
          </w:tcPr>
          <w:p w:rsidR="00724815" w:rsidRPr="00793600" w:rsidRDefault="00724815" w:rsidP="00543A75">
            <w:pPr>
              <w:spacing w:line="256" w:lineRule="auto"/>
              <w:rPr>
                <w:sz w:val="24"/>
                <w:szCs w:val="24"/>
              </w:rPr>
            </w:pPr>
          </w:p>
        </w:tc>
      </w:tr>
      <w:tr w:rsidR="00724815" w:rsidRPr="00793600" w:rsidTr="00543A75">
        <w:trPr>
          <w:cantSplit/>
        </w:trPr>
        <w:tc>
          <w:tcPr>
            <w:tcW w:w="5719" w:type="dxa"/>
            <w:gridSpan w:val="4"/>
            <w:tcBorders>
              <w:top w:val="nil"/>
              <w:left w:val="nil"/>
              <w:bottom w:val="nil"/>
              <w:right w:val="nil"/>
            </w:tcBorders>
            <w:shd w:val="clear" w:color="auto" w:fill="FFFFFF"/>
            <w:tcMar>
              <w:top w:w="30" w:type="dxa"/>
              <w:left w:w="30" w:type="dxa"/>
              <w:bottom w:w="30" w:type="dxa"/>
              <w:right w:w="30" w:type="dxa"/>
            </w:tcMar>
            <w:hideMark/>
          </w:tcPr>
          <w:p w:rsidR="00724815" w:rsidRPr="00793600" w:rsidRDefault="00724815" w:rsidP="00543A75">
            <w:pPr>
              <w:spacing w:line="320" w:lineRule="atLeast"/>
              <w:rPr>
                <w:sz w:val="24"/>
                <w:szCs w:val="24"/>
              </w:rPr>
            </w:pPr>
            <w:r w:rsidRPr="00793600">
              <w:rPr>
                <w:sz w:val="24"/>
                <w:szCs w:val="24"/>
              </w:rPr>
              <w:t>b. Dependent Variable: ROE</w:t>
            </w:r>
          </w:p>
        </w:tc>
        <w:tc>
          <w:tcPr>
            <w:tcW w:w="1721" w:type="dxa"/>
            <w:tcBorders>
              <w:top w:val="nil"/>
              <w:left w:val="nil"/>
              <w:bottom w:val="nil"/>
              <w:right w:val="nil"/>
            </w:tcBorders>
            <w:shd w:val="clear" w:color="auto" w:fill="FFFFFF"/>
            <w:tcMar>
              <w:top w:w="30" w:type="dxa"/>
              <w:left w:w="30" w:type="dxa"/>
              <w:bottom w:w="30" w:type="dxa"/>
              <w:right w:w="30" w:type="dxa"/>
            </w:tcMar>
          </w:tcPr>
          <w:p w:rsidR="00724815" w:rsidRPr="00793600" w:rsidRDefault="00724815" w:rsidP="00543A75">
            <w:pPr>
              <w:spacing w:line="256" w:lineRule="auto"/>
              <w:rPr>
                <w:sz w:val="24"/>
                <w:szCs w:val="24"/>
              </w:rPr>
            </w:pPr>
          </w:p>
        </w:tc>
      </w:tr>
    </w:tbl>
    <w:p w:rsidR="00000088" w:rsidRPr="00B5003E" w:rsidRDefault="00000088" w:rsidP="00724815">
      <w:pPr>
        <w:jc w:val="both"/>
        <w:rPr>
          <w:rFonts w:eastAsia="Arial Unicode MS"/>
          <w:bCs/>
          <w:i/>
          <w:iCs/>
          <w:sz w:val="24"/>
          <w:szCs w:val="24"/>
        </w:rPr>
      </w:pPr>
    </w:p>
    <w:p w:rsidR="00000088" w:rsidRPr="00B5003E" w:rsidRDefault="00000088" w:rsidP="00724815">
      <w:pPr>
        <w:ind w:left="20" w:firstLine="708"/>
        <w:jc w:val="both"/>
        <w:rPr>
          <w:sz w:val="24"/>
          <w:szCs w:val="24"/>
        </w:rPr>
      </w:pPr>
      <w:r w:rsidRPr="00B5003E">
        <w:rPr>
          <w:rFonts w:eastAsia="Arial Unicode MS"/>
          <w:bCs/>
          <w:sz w:val="24"/>
          <w:szCs w:val="24"/>
        </w:rPr>
        <w:t>From the table above it can be shown that the value of R-</w:t>
      </w:r>
      <w:r w:rsidRPr="00B5003E">
        <w:rPr>
          <w:rFonts w:eastAsia="Arial Unicode MS"/>
          <w:bCs/>
          <w:i/>
          <w:iCs/>
          <w:sz w:val="24"/>
          <w:szCs w:val="24"/>
        </w:rPr>
        <w:t xml:space="preserve">Square </w:t>
      </w:r>
      <w:r w:rsidRPr="00724815">
        <w:rPr>
          <w:rFonts w:eastAsia="Arial Unicode MS"/>
          <w:bCs/>
          <w:iCs/>
          <w:sz w:val="24"/>
          <w:szCs w:val="24"/>
        </w:rPr>
        <w:t>(</w:t>
      </w:r>
      <w:r w:rsidR="00724815">
        <w:rPr>
          <w:rFonts w:eastAsia="Arial Unicode MS"/>
          <w:bCs/>
          <w:sz w:val="24"/>
          <w:szCs w:val="24"/>
        </w:rPr>
        <w:t>R</w:t>
      </w:r>
      <w:r w:rsidRPr="00724815">
        <w:rPr>
          <w:rFonts w:eastAsia="Arial Unicode MS"/>
          <w:bCs/>
          <w:sz w:val="24"/>
          <w:szCs w:val="24"/>
          <w:vertAlign w:val="superscript"/>
        </w:rPr>
        <w:t>2</w:t>
      </w:r>
      <w:r w:rsidRPr="00B5003E">
        <w:rPr>
          <w:rFonts w:eastAsia="Arial Unicode MS"/>
          <w:bCs/>
          <w:sz w:val="24"/>
          <w:szCs w:val="24"/>
        </w:rPr>
        <w:t xml:space="preserve">) of 0.502 or 5.2%, which means that the percentage of the influence of the independent variable </w:t>
      </w:r>
      <w:r w:rsidRPr="00724815">
        <w:rPr>
          <w:rFonts w:eastAsia="Arial Unicode MS"/>
          <w:bCs/>
          <w:sz w:val="24"/>
          <w:szCs w:val="24"/>
        </w:rPr>
        <w:t>(</w:t>
      </w:r>
      <w:r w:rsidRPr="00B5003E">
        <w:rPr>
          <w:rFonts w:eastAsia="Arial Unicode MS"/>
          <w:bCs/>
          <w:i/>
          <w:iCs/>
          <w:sz w:val="24"/>
          <w:szCs w:val="24"/>
        </w:rPr>
        <w:t xml:space="preserve">Current Ratio, Debt To Asset Ratio and Total </w:t>
      </w:r>
      <w:proofErr w:type="spellStart"/>
      <w:r w:rsidRPr="00B5003E">
        <w:rPr>
          <w:rFonts w:eastAsia="Arial Unicode MS"/>
          <w:bCs/>
          <w:i/>
          <w:iCs/>
          <w:sz w:val="24"/>
          <w:szCs w:val="24"/>
        </w:rPr>
        <w:t>AssetTurnover</w:t>
      </w:r>
      <w:proofErr w:type="spellEnd"/>
      <w:r w:rsidRPr="00B5003E">
        <w:rPr>
          <w:rFonts w:eastAsia="Arial Unicode MS"/>
          <w:bCs/>
          <w:i/>
          <w:iCs/>
          <w:sz w:val="24"/>
          <w:szCs w:val="24"/>
        </w:rPr>
        <w:t xml:space="preserve">) </w:t>
      </w:r>
      <w:r w:rsidRPr="00B5003E">
        <w:rPr>
          <w:rFonts w:eastAsia="Arial Unicode MS"/>
          <w:bCs/>
          <w:sz w:val="24"/>
          <w:szCs w:val="24"/>
        </w:rPr>
        <w:t>to the dependent variable (</w:t>
      </w:r>
      <w:r w:rsidRPr="00B5003E">
        <w:rPr>
          <w:rFonts w:eastAsia="Arial Unicode MS"/>
          <w:bCs/>
          <w:i/>
          <w:iCs/>
          <w:sz w:val="24"/>
          <w:szCs w:val="24"/>
        </w:rPr>
        <w:t xml:space="preserve">Return On Equity) </w:t>
      </w:r>
      <w:r w:rsidRPr="00B5003E">
        <w:rPr>
          <w:rFonts w:eastAsia="Arial Unicode MS"/>
          <w:bCs/>
          <w:sz w:val="24"/>
          <w:szCs w:val="24"/>
        </w:rPr>
        <w:t xml:space="preserve">is 5.2% while the rest 94.8% is influenced by other </w:t>
      </w:r>
      <w:proofErr w:type="spellStart"/>
      <w:r w:rsidRPr="00B5003E">
        <w:rPr>
          <w:rFonts w:eastAsia="Arial Unicode MS"/>
          <w:bCs/>
          <w:sz w:val="24"/>
          <w:szCs w:val="24"/>
        </w:rPr>
        <w:t>factorsnot</w:t>
      </w:r>
      <w:proofErr w:type="spellEnd"/>
      <w:r w:rsidRPr="00B5003E">
        <w:rPr>
          <w:rFonts w:eastAsia="Arial Unicode MS"/>
          <w:bCs/>
          <w:sz w:val="24"/>
          <w:szCs w:val="24"/>
        </w:rPr>
        <w:t xml:space="preserve"> included in this study.</w:t>
      </w:r>
    </w:p>
    <w:p w:rsidR="00000088" w:rsidRPr="00B5003E" w:rsidRDefault="00000088" w:rsidP="00000088">
      <w:pPr>
        <w:rPr>
          <w:sz w:val="24"/>
          <w:szCs w:val="24"/>
        </w:rPr>
      </w:pPr>
      <w:bookmarkStart w:id="10" w:name="page13"/>
      <w:bookmarkEnd w:id="10"/>
    </w:p>
    <w:p w:rsidR="00000088" w:rsidRPr="00B5003E" w:rsidRDefault="00000088" w:rsidP="00000088">
      <w:pPr>
        <w:rPr>
          <w:b/>
          <w:sz w:val="24"/>
          <w:szCs w:val="24"/>
        </w:rPr>
      </w:pPr>
      <w:r w:rsidRPr="00B5003E">
        <w:rPr>
          <w:rFonts w:eastAsia="Arial Unicode MS"/>
          <w:b/>
          <w:bCs/>
          <w:sz w:val="24"/>
          <w:szCs w:val="24"/>
        </w:rPr>
        <w:t>DISCUSSION</w:t>
      </w:r>
    </w:p>
    <w:p w:rsidR="00724815" w:rsidRDefault="00000088" w:rsidP="00724815">
      <w:pPr>
        <w:rPr>
          <w:b/>
          <w:sz w:val="24"/>
          <w:szCs w:val="24"/>
        </w:rPr>
      </w:pPr>
      <w:r w:rsidRPr="00B5003E">
        <w:rPr>
          <w:rFonts w:eastAsia="Arial Unicode MS"/>
          <w:b/>
          <w:bCs/>
          <w:sz w:val="24"/>
          <w:szCs w:val="24"/>
        </w:rPr>
        <w:t xml:space="preserve">Influence </w:t>
      </w:r>
      <w:r w:rsidRPr="00B5003E">
        <w:rPr>
          <w:rFonts w:eastAsia="Arial Unicode MS"/>
          <w:b/>
          <w:bCs/>
          <w:i/>
          <w:iCs/>
          <w:sz w:val="24"/>
          <w:szCs w:val="24"/>
        </w:rPr>
        <w:t xml:space="preserve">Current Ratio </w:t>
      </w:r>
      <w:r w:rsidRPr="00724815">
        <w:rPr>
          <w:rFonts w:eastAsia="Arial Unicode MS"/>
          <w:b/>
          <w:bCs/>
          <w:iCs/>
          <w:sz w:val="24"/>
          <w:szCs w:val="24"/>
        </w:rPr>
        <w:t>(</w:t>
      </w:r>
      <w:r w:rsidRPr="00B5003E">
        <w:rPr>
          <w:rFonts w:eastAsia="Arial Unicode MS"/>
          <w:b/>
          <w:bCs/>
          <w:sz w:val="24"/>
          <w:szCs w:val="24"/>
        </w:rPr>
        <w:t xml:space="preserve">CR) against </w:t>
      </w:r>
      <w:r w:rsidRPr="00B5003E">
        <w:rPr>
          <w:rFonts w:eastAsia="Arial Unicode MS"/>
          <w:b/>
          <w:bCs/>
          <w:i/>
          <w:iCs/>
          <w:sz w:val="24"/>
          <w:szCs w:val="24"/>
        </w:rPr>
        <w:t xml:space="preserve">Return </w:t>
      </w:r>
      <w:proofErr w:type="gramStart"/>
      <w:r w:rsidRPr="00B5003E">
        <w:rPr>
          <w:rFonts w:eastAsia="Arial Unicode MS"/>
          <w:b/>
          <w:bCs/>
          <w:i/>
          <w:iCs/>
          <w:sz w:val="24"/>
          <w:szCs w:val="24"/>
        </w:rPr>
        <w:t>On</w:t>
      </w:r>
      <w:proofErr w:type="gramEnd"/>
      <w:r w:rsidRPr="00B5003E">
        <w:rPr>
          <w:rFonts w:eastAsia="Arial Unicode MS"/>
          <w:b/>
          <w:bCs/>
          <w:i/>
          <w:iCs/>
          <w:sz w:val="24"/>
          <w:szCs w:val="24"/>
        </w:rPr>
        <w:t xml:space="preserve"> Equity </w:t>
      </w:r>
      <w:r w:rsidRPr="00724815">
        <w:rPr>
          <w:rFonts w:eastAsia="Arial Unicode MS"/>
          <w:b/>
          <w:bCs/>
          <w:iCs/>
          <w:sz w:val="24"/>
          <w:szCs w:val="24"/>
        </w:rPr>
        <w:t>(</w:t>
      </w:r>
      <w:r w:rsidRPr="00B5003E">
        <w:rPr>
          <w:rFonts w:eastAsia="Arial Unicode MS"/>
          <w:b/>
          <w:bCs/>
          <w:sz w:val="24"/>
          <w:szCs w:val="24"/>
        </w:rPr>
        <w:t>ROE)</w:t>
      </w:r>
    </w:p>
    <w:p w:rsidR="00E111D3" w:rsidRDefault="00000088" w:rsidP="00E111D3">
      <w:pPr>
        <w:ind w:firstLine="720"/>
        <w:jc w:val="both"/>
        <w:rPr>
          <w:b/>
          <w:sz w:val="24"/>
          <w:szCs w:val="24"/>
        </w:rPr>
      </w:pPr>
      <w:r w:rsidRPr="00B5003E">
        <w:rPr>
          <w:rFonts w:eastAsia="Arial Unicode MS"/>
          <w:bCs/>
          <w:sz w:val="24"/>
          <w:szCs w:val="24"/>
        </w:rPr>
        <w:t xml:space="preserve">Based on the research results obtained regarding the influence </w:t>
      </w:r>
      <w:r w:rsidRPr="00B5003E">
        <w:rPr>
          <w:rFonts w:eastAsia="Arial Unicode MS"/>
          <w:bCs/>
          <w:i/>
          <w:iCs/>
          <w:sz w:val="24"/>
          <w:szCs w:val="24"/>
        </w:rPr>
        <w:t xml:space="preserve">Current Ratio </w:t>
      </w:r>
      <w:r w:rsidRPr="00724815">
        <w:rPr>
          <w:rFonts w:eastAsia="Arial Unicode MS"/>
          <w:bCs/>
          <w:iCs/>
          <w:sz w:val="24"/>
          <w:szCs w:val="24"/>
        </w:rPr>
        <w:t>(</w:t>
      </w:r>
      <w:r w:rsidRPr="00B5003E">
        <w:rPr>
          <w:rFonts w:eastAsia="Arial Unicode MS"/>
          <w:bCs/>
          <w:sz w:val="24"/>
          <w:szCs w:val="24"/>
        </w:rPr>
        <w:t xml:space="preserve">CR) against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00724815">
        <w:rPr>
          <w:rFonts w:eastAsia="Arial Unicode MS"/>
          <w:bCs/>
          <w:i/>
          <w:iCs/>
          <w:sz w:val="24"/>
          <w:szCs w:val="24"/>
        </w:rPr>
        <w:t xml:space="preserve"> </w:t>
      </w:r>
      <w:r w:rsidRPr="00B5003E">
        <w:rPr>
          <w:rFonts w:eastAsia="Arial Unicode MS"/>
          <w:bCs/>
          <w:i/>
          <w:iCs/>
          <w:sz w:val="24"/>
          <w:szCs w:val="24"/>
        </w:rPr>
        <w:t xml:space="preserve">Equity </w:t>
      </w:r>
      <w:r w:rsidRPr="00724815">
        <w:rPr>
          <w:rFonts w:eastAsia="Arial Unicode MS"/>
          <w:bCs/>
          <w:iCs/>
          <w:sz w:val="24"/>
          <w:szCs w:val="24"/>
        </w:rPr>
        <w:t>(</w:t>
      </w:r>
      <w:r w:rsidRPr="00B5003E">
        <w:rPr>
          <w:rFonts w:eastAsia="Arial Unicode MS"/>
          <w:bCs/>
          <w:sz w:val="24"/>
          <w:szCs w:val="24"/>
        </w:rPr>
        <w:t>ROE) in transportation companies listed on the Stock Exchange</w:t>
      </w:r>
      <w:r w:rsidR="00724815">
        <w:rPr>
          <w:sz w:val="24"/>
          <w:szCs w:val="24"/>
        </w:rPr>
        <w:t xml:space="preserve"> </w:t>
      </w:r>
      <w:r w:rsidRPr="00B5003E">
        <w:rPr>
          <w:rFonts w:eastAsia="Arial Unicode MS"/>
          <w:bCs/>
          <w:sz w:val="24"/>
          <w:szCs w:val="24"/>
        </w:rPr>
        <w:t>Indo</w:t>
      </w:r>
      <w:r w:rsidR="00724815">
        <w:rPr>
          <w:rFonts w:eastAsia="Arial Unicode MS"/>
          <w:bCs/>
          <w:sz w:val="24"/>
          <w:szCs w:val="24"/>
        </w:rPr>
        <w:t>ne</w:t>
      </w:r>
      <w:r w:rsidRPr="00B5003E">
        <w:rPr>
          <w:rFonts w:eastAsia="Arial Unicode MS"/>
          <w:bCs/>
          <w:sz w:val="24"/>
          <w:szCs w:val="24"/>
        </w:rPr>
        <w:t>sia. The result of hypothesis test part</w:t>
      </w:r>
      <w:r w:rsidR="00724815">
        <w:rPr>
          <w:rFonts w:eastAsia="Arial Unicode MS"/>
          <w:bCs/>
          <w:sz w:val="24"/>
          <w:szCs w:val="24"/>
        </w:rPr>
        <w:t xml:space="preserve">ially shows that the value of </w:t>
      </w:r>
      <w:proofErr w:type="spellStart"/>
      <w:r w:rsidR="00724815">
        <w:rPr>
          <w:rFonts w:eastAsia="Arial Unicode MS"/>
          <w:bCs/>
          <w:sz w:val="24"/>
          <w:szCs w:val="24"/>
        </w:rPr>
        <w:t>t</w:t>
      </w:r>
      <w:r w:rsidRPr="00724815">
        <w:rPr>
          <w:rFonts w:eastAsia="Arial Unicode MS"/>
          <w:bCs/>
          <w:sz w:val="24"/>
          <w:szCs w:val="24"/>
          <w:vertAlign w:val="subscript"/>
        </w:rPr>
        <w:t>count</w:t>
      </w:r>
      <w:proofErr w:type="spellEnd"/>
      <w:r w:rsidRPr="00B5003E">
        <w:rPr>
          <w:rFonts w:eastAsia="Arial Unicode MS"/>
          <w:bCs/>
          <w:sz w:val="24"/>
          <w:szCs w:val="24"/>
        </w:rPr>
        <w:t xml:space="preserve"> for variables </w:t>
      </w:r>
      <w:r w:rsidRPr="00B5003E">
        <w:rPr>
          <w:rFonts w:eastAsia="Arial Unicode MS"/>
          <w:bCs/>
          <w:i/>
          <w:iCs/>
          <w:sz w:val="24"/>
          <w:szCs w:val="24"/>
        </w:rPr>
        <w:t>Current Ratio</w:t>
      </w:r>
      <w:r w:rsidRPr="00B5003E">
        <w:rPr>
          <w:rFonts w:eastAsia="Arial Unicode MS"/>
          <w:bCs/>
          <w:sz w:val="24"/>
          <w:szCs w:val="24"/>
        </w:rPr>
        <w:t xml:space="preserve"> is -0.514 and</w:t>
      </w:r>
      <w:r w:rsidR="00724815">
        <w:rPr>
          <w:rFonts w:eastAsia="Arial Unicode MS"/>
          <w:bCs/>
          <w:sz w:val="24"/>
          <w:szCs w:val="24"/>
        </w:rPr>
        <w:t xml:space="preserve"> </w:t>
      </w:r>
      <w:proofErr w:type="spellStart"/>
      <w:r w:rsidR="00724815">
        <w:rPr>
          <w:rFonts w:eastAsia="Arial Unicode MS"/>
          <w:bCs/>
          <w:sz w:val="24"/>
          <w:szCs w:val="24"/>
        </w:rPr>
        <w:t>t</w:t>
      </w:r>
      <w:r w:rsidRPr="00724815">
        <w:rPr>
          <w:rFonts w:eastAsia="Arial Unicode MS"/>
          <w:bCs/>
          <w:sz w:val="24"/>
          <w:szCs w:val="24"/>
          <w:vertAlign w:val="subscript"/>
        </w:rPr>
        <w:t>table</w:t>
      </w:r>
      <w:proofErr w:type="spellEnd"/>
      <w:r w:rsidRPr="00B5003E">
        <w:rPr>
          <w:rFonts w:eastAsia="Arial Unicode MS"/>
          <w:bCs/>
          <w:sz w:val="24"/>
          <w:szCs w:val="24"/>
        </w:rPr>
        <w:t xml:space="preserve"> with</w:t>
      </w:r>
      <w:r w:rsidR="00724815">
        <w:rPr>
          <w:rFonts w:eastAsia="Arial Unicode MS"/>
          <w:bCs/>
          <w:sz w:val="24"/>
          <w:szCs w:val="24"/>
        </w:rPr>
        <w:t xml:space="preserve"> </w:t>
      </w:r>
      <w:r w:rsidRPr="00B5003E">
        <w:rPr>
          <w:rFonts w:eastAsia="Arial Unicode MS"/>
          <w:bCs/>
          <w:sz w:val="24"/>
          <w:szCs w:val="24"/>
        </w:rPr>
        <w:t xml:space="preserve">α = </w:t>
      </w:r>
      <w:r w:rsidR="00E111D3">
        <w:rPr>
          <w:rFonts w:eastAsia="Arial Unicode MS"/>
          <w:bCs/>
          <w:sz w:val="24"/>
          <w:szCs w:val="24"/>
        </w:rPr>
        <w:t>5% is known to be 2.034 thus –</w:t>
      </w:r>
      <w:proofErr w:type="spellStart"/>
      <w:r w:rsidR="00E111D3">
        <w:rPr>
          <w:rFonts w:eastAsia="Arial Unicode MS"/>
          <w:bCs/>
          <w:sz w:val="24"/>
          <w:szCs w:val="24"/>
        </w:rPr>
        <w:t>t</w:t>
      </w:r>
      <w:r w:rsidRPr="00E111D3">
        <w:rPr>
          <w:rFonts w:eastAsia="Arial Unicode MS"/>
          <w:bCs/>
          <w:sz w:val="24"/>
          <w:szCs w:val="24"/>
          <w:vertAlign w:val="subscript"/>
        </w:rPr>
        <w:t>count</w:t>
      </w:r>
      <w:proofErr w:type="spellEnd"/>
      <w:r w:rsidR="00E111D3">
        <w:rPr>
          <w:rFonts w:eastAsia="Arial Unicode MS"/>
          <w:bCs/>
          <w:sz w:val="24"/>
          <w:szCs w:val="24"/>
        </w:rPr>
        <w:t xml:space="preserve"> </w:t>
      </w:r>
      <w:r w:rsidRPr="00B5003E">
        <w:rPr>
          <w:rFonts w:eastAsia="Arial Unicode MS"/>
          <w:bCs/>
          <w:sz w:val="24"/>
          <w:szCs w:val="24"/>
        </w:rPr>
        <w:t>greater than</w:t>
      </w:r>
      <w:r w:rsidR="00E111D3">
        <w:rPr>
          <w:rFonts w:eastAsia="Arial Unicode MS"/>
          <w:bCs/>
          <w:sz w:val="24"/>
          <w:szCs w:val="24"/>
        </w:rPr>
        <w:t xml:space="preserve"> </w:t>
      </w:r>
      <w:proofErr w:type="spellStart"/>
      <w:r w:rsidR="00E111D3">
        <w:rPr>
          <w:rFonts w:eastAsia="Arial Unicode MS"/>
          <w:bCs/>
          <w:sz w:val="24"/>
          <w:szCs w:val="24"/>
        </w:rPr>
        <w:t>t</w:t>
      </w:r>
      <w:r w:rsidR="00724815" w:rsidRPr="00E111D3">
        <w:rPr>
          <w:rFonts w:eastAsia="Arial Unicode MS"/>
          <w:bCs/>
          <w:sz w:val="24"/>
          <w:szCs w:val="24"/>
          <w:vertAlign w:val="subscript"/>
        </w:rPr>
        <w:t>table</w:t>
      </w:r>
      <w:proofErr w:type="spellEnd"/>
      <w:r w:rsidR="00724815">
        <w:rPr>
          <w:rFonts w:eastAsia="Arial Unicode MS"/>
          <w:bCs/>
          <w:sz w:val="24"/>
          <w:szCs w:val="24"/>
        </w:rPr>
        <w:t xml:space="preserve"> (- 0.514 &lt;2.034) and H</w:t>
      </w:r>
      <w:r w:rsidRPr="00724815">
        <w:rPr>
          <w:rFonts w:eastAsia="Arial Unicode MS"/>
          <w:bCs/>
          <w:sz w:val="24"/>
          <w:szCs w:val="24"/>
          <w:vertAlign w:val="subscript"/>
        </w:rPr>
        <w:t>o</w:t>
      </w:r>
      <w:r w:rsidR="00724815">
        <w:rPr>
          <w:rFonts w:eastAsia="Arial Unicode MS"/>
          <w:bCs/>
          <w:sz w:val="24"/>
          <w:szCs w:val="24"/>
        </w:rPr>
        <w:t xml:space="preserve"> rejected and H</w:t>
      </w:r>
      <w:r w:rsidRPr="00724815">
        <w:rPr>
          <w:rFonts w:eastAsia="Arial Unicode MS"/>
          <w:bCs/>
          <w:sz w:val="24"/>
          <w:szCs w:val="24"/>
          <w:vertAlign w:val="subscript"/>
        </w:rPr>
        <w:t>a</w:t>
      </w:r>
      <w:r w:rsidRPr="00B5003E">
        <w:rPr>
          <w:rFonts w:eastAsia="Arial Unicode MS"/>
          <w:bCs/>
          <w:sz w:val="24"/>
          <w:szCs w:val="24"/>
        </w:rPr>
        <w:t xml:space="preserve"> be accepted. Based on these results, it shows that partially there is an effect but not significant between </w:t>
      </w:r>
      <w:r w:rsidRPr="00B5003E">
        <w:rPr>
          <w:rFonts w:eastAsia="Arial Unicode MS"/>
          <w:bCs/>
          <w:i/>
          <w:iCs/>
          <w:sz w:val="24"/>
          <w:szCs w:val="24"/>
        </w:rPr>
        <w:t>Current Ratio</w:t>
      </w:r>
      <w:r w:rsidRPr="00B5003E">
        <w:rPr>
          <w:rFonts w:eastAsia="Arial Unicode MS"/>
          <w:bCs/>
          <w:sz w:val="24"/>
          <w:szCs w:val="24"/>
        </w:rPr>
        <w:t xml:space="preserve"> to </w:t>
      </w:r>
      <w:r w:rsidRPr="00B5003E">
        <w:rPr>
          <w:rFonts w:eastAsia="Arial Unicode MS"/>
          <w:bCs/>
          <w:i/>
          <w:iCs/>
          <w:sz w:val="24"/>
          <w:szCs w:val="24"/>
        </w:rPr>
        <w:t>Return On Equity</w:t>
      </w:r>
      <w:r w:rsidRPr="00B5003E">
        <w:rPr>
          <w:rFonts w:eastAsia="Arial Unicode MS"/>
          <w:bCs/>
          <w:sz w:val="24"/>
          <w:szCs w:val="24"/>
        </w:rPr>
        <w:t xml:space="preserve"> transportation companies listed on the Indonesia Stock Exchange for the period 2015-2019. This is due to the elements </w:t>
      </w:r>
      <w:r w:rsidRPr="00B5003E">
        <w:rPr>
          <w:rFonts w:eastAsia="Arial Unicode MS"/>
          <w:bCs/>
          <w:i/>
          <w:iCs/>
          <w:sz w:val="24"/>
          <w:szCs w:val="24"/>
        </w:rPr>
        <w:t>Current</w:t>
      </w:r>
      <w:r w:rsidR="00E111D3">
        <w:rPr>
          <w:rFonts w:eastAsia="Arial Unicode MS"/>
          <w:bCs/>
          <w:i/>
          <w:iCs/>
          <w:sz w:val="24"/>
          <w:szCs w:val="24"/>
        </w:rPr>
        <w:t xml:space="preserve"> </w:t>
      </w:r>
      <w:r w:rsidRPr="00B5003E">
        <w:rPr>
          <w:rFonts w:eastAsia="Arial Unicode MS"/>
          <w:bCs/>
          <w:i/>
          <w:iCs/>
          <w:sz w:val="24"/>
          <w:szCs w:val="24"/>
        </w:rPr>
        <w:t xml:space="preserve">Ratio </w:t>
      </w:r>
      <w:proofErr w:type="spellStart"/>
      <w:r w:rsidRPr="00B5003E">
        <w:rPr>
          <w:rFonts w:eastAsia="Arial Unicode MS"/>
          <w:bCs/>
          <w:sz w:val="24"/>
          <w:szCs w:val="24"/>
        </w:rPr>
        <w:t>it</w:t>
      </w:r>
      <w:r w:rsidR="00E111D3">
        <w:rPr>
          <w:rFonts w:eastAsia="Arial Unicode MS"/>
          <w:bCs/>
          <w:sz w:val="24"/>
          <w:szCs w:val="24"/>
        </w:rPr>
        <w:t xml:space="preserve"> </w:t>
      </w:r>
      <w:r w:rsidRPr="00B5003E">
        <w:rPr>
          <w:rFonts w:eastAsia="Arial Unicode MS"/>
          <w:bCs/>
          <w:sz w:val="24"/>
          <w:szCs w:val="24"/>
        </w:rPr>
        <w:t>self</w:t>
      </w:r>
      <w:proofErr w:type="spellEnd"/>
      <w:r w:rsidRPr="00B5003E">
        <w:rPr>
          <w:rFonts w:eastAsia="Arial Unicode MS"/>
          <w:bCs/>
          <w:sz w:val="24"/>
          <w:szCs w:val="24"/>
        </w:rPr>
        <w:t xml:space="preserve">, where investors will usually pay more attention to the total debt the company has. The higher </w:t>
      </w:r>
      <w:proofErr w:type="spellStart"/>
      <w:r w:rsidRPr="00B5003E">
        <w:rPr>
          <w:rFonts w:eastAsia="Arial Unicode MS"/>
          <w:bCs/>
          <w:sz w:val="24"/>
          <w:szCs w:val="24"/>
        </w:rPr>
        <w:t>thevalue</w:t>
      </w:r>
      <w:proofErr w:type="spellEnd"/>
      <w:r w:rsidRPr="00B5003E">
        <w:rPr>
          <w:rFonts w:eastAsia="Arial Unicode MS"/>
          <w:bCs/>
          <w:sz w:val="24"/>
          <w:szCs w:val="24"/>
        </w:rPr>
        <w:t xml:space="preserve"> </w:t>
      </w:r>
      <w:r w:rsidRPr="00B5003E">
        <w:rPr>
          <w:rFonts w:eastAsia="Arial Unicode MS"/>
          <w:bCs/>
          <w:i/>
          <w:iCs/>
          <w:sz w:val="24"/>
          <w:szCs w:val="24"/>
        </w:rPr>
        <w:t>Current Ratio</w:t>
      </w:r>
      <w:r w:rsidRPr="00B5003E">
        <w:rPr>
          <w:rFonts w:eastAsia="Arial Unicode MS"/>
          <w:bCs/>
          <w:sz w:val="24"/>
          <w:szCs w:val="24"/>
        </w:rPr>
        <w:t xml:space="preserve"> it will make it difficult for the company to get additional loans from investors, because investors are afraid that the company will not be able to pay its obligations. </w:t>
      </w:r>
      <w:r w:rsidRPr="00B5003E">
        <w:rPr>
          <w:rFonts w:eastAsia="Arial Unicode MS"/>
          <w:bCs/>
          <w:i/>
          <w:iCs/>
          <w:sz w:val="24"/>
          <w:szCs w:val="24"/>
        </w:rPr>
        <w:t>Current Ratio not</w:t>
      </w:r>
      <w:r w:rsidRPr="00B5003E">
        <w:rPr>
          <w:rFonts w:eastAsia="Arial Unicode MS"/>
          <w:bCs/>
          <w:sz w:val="24"/>
          <w:szCs w:val="24"/>
        </w:rPr>
        <w:t xml:space="preserve"> significant effect on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w:t>
      </w:r>
      <w:r w:rsidRPr="00B5003E">
        <w:rPr>
          <w:rFonts w:eastAsia="Arial Unicode MS"/>
          <w:bCs/>
          <w:sz w:val="24"/>
          <w:szCs w:val="24"/>
        </w:rPr>
        <w:t xml:space="preserve"> shows that investors are paying more attention </w:t>
      </w:r>
      <w:proofErr w:type="spellStart"/>
      <w:r w:rsidRPr="00B5003E">
        <w:rPr>
          <w:rFonts w:eastAsia="Arial Unicode MS"/>
          <w:bCs/>
          <w:i/>
          <w:iCs/>
          <w:sz w:val="24"/>
          <w:szCs w:val="24"/>
        </w:rPr>
        <w:t>Cureent</w:t>
      </w:r>
      <w:proofErr w:type="spellEnd"/>
      <w:r w:rsidRPr="00B5003E">
        <w:rPr>
          <w:rFonts w:eastAsia="Arial Unicode MS"/>
          <w:bCs/>
          <w:i/>
          <w:iCs/>
          <w:sz w:val="24"/>
          <w:szCs w:val="24"/>
        </w:rPr>
        <w:t xml:space="preserve"> Ratio</w:t>
      </w:r>
      <w:r w:rsidRPr="00B5003E">
        <w:rPr>
          <w:rFonts w:eastAsia="Arial Unicode MS"/>
          <w:bCs/>
          <w:sz w:val="24"/>
          <w:szCs w:val="24"/>
        </w:rPr>
        <w:t xml:space="preserve"> as a risk that can be considered in their investment decisions.</w:t>
      </w:r>
    </w:p>
    <w:p w:rsidR="00E111D3" w:rsidRDefault="00000088" w:rsidP="00E111D3">
      <w:pPr>
        <w:ind w:firstLine="720"/>
        <w:jc w:val="both"/>
        <w:rPr>
          <w:b/>
          <w:sz w:val="24"/>
          <w:szCs w:val="24"/>
        </w:rPr>
      </w:pPr>
      <w:r w:rsidRPr="00B5003E">
        <w:rPr>
          <w:rFonts w:eastAsia="Arial Unicode MS"/>
          <w:bCs/>
          <w:sz w:val="24"/>
          <w:szCs w:val="24"/>
        </w:rPr>
        <w:t>Current ratio or (</w:t>
      </w:r>
      <w:r w:rsidRPr="00B5003E">
        <w:rPr>
          <w:rFonts w:eastAsia="Arial Unicode MS"/>
          <w:bCs/>
          <w:i/>
          <w:iCs/>
          <w:sz w:val="24"/>
          <w:szCs w:val="24"/>
        </w:rPr>
        <w:t>Current Ratio)</w:t>
      </w:r>
      <w:r w:rsidRPr="00B5003E">
        <w:rPr>
          <w:rFonts w:eastAsia="Arial Unicode MS"/>
          <w:bCs/>
          <w:sz w:val="24"/>
          <w:szCs w:val="24"/>
        </w:rPr>
        <w:t xml:space="preserve"> is a ratio to measure the company's ability to pay short-term obligations or debt that is due immediately when collected as a whole. In other words, how many current assets are available to cover short-term liabilities that are due </w:t>
      </w:r>
      <w:proofErr w:type="gramStart"/>
      <w:r w:rsidRPr="00B5003E">
        <w:rPr>
          <w:rFonts w:eastAsia="Arial Unicode MS"/>
          <w:bCs/>
          <w:sz w:val="24"/>
          <w:szCs w:val="24"/>
        </w:rPr>
        <w:t>soon.</w:t>
      </w:r>
      <w:proofErr w:type="gramEnd"/>
      <w:r w:rsidRPr="00B5003E">
        <w:rPr>
          <w:rFonts w:eastAsia="Arial Unicode MS"/>
          <w:bCs/>
          <w:sz w:val="24"/>
          <w:szCs w:val="24"/>
        </w:rPr>
        <w:t xml:space="preserve"> Current ratio can also be said as a form of measuring the level of security (</w:t>
      </w:r>
      <w:r w:rsidRPr="00B5003E">
        <w:rPr>
          <w:rFonts w:eastAsia="Arial Unicode MS"/>
          <w:bCs/>
          <w:i/>
          <w:iCs/>
          <w:sz w:val="24"/>
          <w:szCs w:val="24"/>
        </w:rPr>
        <w:t>margin of safety)</w:t>
      </w:r>
      <w:r w:rsidRPr="00B5003E">
        <w:rPr>
          <w:rFonts w:eastAsia="Arial Unicode MS"/>
          <w:bCs/>
          <w:sz w:val="24"/>
          <w:szCs w:val="24"/>
        </w:rPr>
        <w:t xml:space="preserve"> a company. Calculation of the current ratio is done by comparing total current assets with total current debt.</w:t>
      </w:r>
    </w:p>
    <w:p w:rsidR="00E111D3" w:rsidRDefault="00000088" w:rsidP="00E111D3">
      <w:pPr>
        <w:ind w:firstLine="720"/>
        <w:jc w:val="both"/>
        <w:rPr>
          <w:sz w:val="24"/>
          <w:szCs w:val="24"/>
        </w:rPr>
      </w:pPr>
      <w:r w:rsidRPr="00B5003E">
        <w:rPr>
          <w:rFonts w:eastAsia="Arial Unicode MS"/>
          <w:bCs/>
          <w:sz w:val="24"/>
          <w:szCs w:val="24"/>
        </w:rPr>
        <w:t>The results of this study are in line with the results of research conducted by (</w:t>
      </w:r>
      <w:proofErr w:type="spellStart"/>
      <w:r w:rsidRPr="00B5003E">
        <w:rPr>
          <w:rFonts w:eastAsia="Arial Unicode MS"/>
          <w:bCs/>
          <w:sz w:val="24"/>
          <w:szCs w:val="24"/>
        </w:rPr>
        <w:t>Pratomo</w:t>
      </w:r>
      <w:proofErr w:type="spellEnd"/>
      <w:r w:rsidRPr="00B5003E">
        <w:rPr>
          <w:rFonts w:eastAsia="Arial Unicode MS"/>
          <w:bCs/>
          <w:sz w:val="24"/>
          <w:szCs w:val="24"/>
        </w:rPr>
        <w:t xml:space="preserve">, 2017) and (Putra, 2020) which state that </w:t>
      </w:r>
      <w:r w:rsidRPr="00B5003E">
        <w:rPr>
          <w:rFonts w:eastAsia="Arial Unicode MS"/>
          <w:bCs/>
          <w:i/>
          <w:iCs/>
          <w:sz w:val="24"/>
          <w:szCs w:val="24"/>
        </w:rPr>
        <w:t>Current Ratio</w:t>
      </w:r>
      <w:r w:rsidRPr="00B5003E">
        <w:rPr>
          <w:rFonts w:eastAsia="Arial Unicode MS"/>
          <w:bCs/>
          <w:sz w:val="24"/>
          <w:szCs w:val="24"/>
        </w:rPr>
        <w:t xml:space="preserve"> has no significant effect on</w:t>
      </w:r>
      <w:r w:rsidR="00E111D3">
        <w:rPr>
          <w:rFonts w:eastAsia="Arial Unicode MS"/>
          <w:bCs/>
          <w:sz w:val="24"/>
          <w:szCs w:val="24"/>
        </w:rPr>
        <w:t xml:space="preserve">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r w:rsidRPr="00B5003E">
        <w:rPr>
          <w:rFonts w:eastAsia="Arial Unicode MS"/>
          <w:bCs/>
          <w:sz w:val="24"/>
          <w:szCs w:val="24"/>
        </w:rPr>
        <w:t>But this research is not in line with the results of research (</w:t>
      </w:r>
      <w:proofErr w:type="spellStart"/>
      <w:r w:rsidRPr="00B5003E">
        <w:rPr>
          <w:rFonts w:eastAsia="Arial Unicode MS"/>
          <w:bCs/>
          <w:sz w:val="24"/>
          <w:szCs w:val="24"/>
        </w:rPr>
        <w:t>Alpi</w:t>
      </w:r>
      <w:proofErr w:type="spellEnd"/>
      <w:r w:rsidRPr="00B5003E">
        <w:rPr>
          <w:rFonts w:eastAsia="Arial Unicode MS"/>
          <w:bCs/>
          <w:sz w:val="24"/>
          <w:szCs w:val="24"/>
        </w:rPr>
        <w:t>, 2018), (</w:t>
      </w:r>
      <w:proofErr w:type="spellStart"/>
      <w:r w:rsidRPr="00B5003E">
        <w:rPr>
          <w:rFonts w:eastAsia="Arial Unicode MS"/>
          <w:bCs/>
          <w:sz w:val="24"/>
          <w:szCs w:val="24"/>
        </w:rPr>
        <w:t>Yusnandar</w:t>
      </w:r>
      <w:proofErr w:type="spellEnd"/>
      <w:r w:rsidRPr="00B5003E">
        <w:rPr>
          <w:rFonts w:eastAsia="Arial Unicode MS"/>
          <w:bCs/>
          <w:sz w:val="24"/>
          <w:szCs w:val="24"/>
        </w:rPr>
        <w:t>, 2019)</w:t>
      </w:r>
      <w:r w:rsidR="00C70872">
        <w:rPr>
          <w:rFonts w:eastAsia="Arial Unicode MS"/>
          <w:bCs/>
          <w:sz w:val="24"/>
          <w:szCs w:val="24"/>
        </w:rPr>
        <w:t xml:space="preserve"> </w:t>
      </w:r>
      <w:r w:rsidRPr="00B5003E">
        <w:rPr>
          <w:rFonts w:eastAsia="Arial Unicode MS"/>
          <w:bCs/>
          <w:sz w:val="24"/>
          <w:szCs w:val="24"/>
        </w:rPr>
        <w:t>and (</w:t>
      </w:r>
      <w:proofErr w:type="spellStart"/>
      <w:r w:rsidRPr="00B5003E">
        <w:rPr>
          <w:rFonts w:eastAsia="Arial Unicode MS"/>
          <w:bCs/>
          <w:sz w:val="24"/>
          <w:szCs w:val="24"/>
        </w:rPr>
        <w:t>Syarifuddin</w:t>
      </w:r>
      <w:proofErr w:type="spellEnd"/>
      <w:r w:rsidRPr="00B5003E">
        <w:rPr>
          <w:rFonts w:eastAsia="Arial Unicode MS"/>
          <w:bCs/>
          <w:sz w:val="24"/>
          <w:szCs w:val="24"/>
        </w:rPr>
        <w:t xml:space="preserve">, 2018), which state that </w:t>
      </w:r>
      <w:r w:rsidRPr="00B5003E">
        <w:rPr>
          <w:rFonts w:eastAsia="Arial Unicode MS"/>
          <w:bCs/>
          <w:i/>
          <w:iCs/>
          <w:sz w:val="24"/>
          <w:szCs w:val="24"/>
        </w:rPr>
        <w:t>Current Ratio</w:t>
      </w:r>
      <w:r w:rsidRPr="00B5003E">
        <w:rPr>
          <w:rFonts w:eastAsia="Arial Unicode MS"/>
          <w:bCs/>
          <w:sz w:val="24"/>
          <w:szCs w:val="24"/>
        </w:rPr>
        <w:t xml:space="preserve"> significant effect on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w:t>
      </w:r>
    </w:p>
    <w:p w:rsidR="00000088" w:rsidRPr="00B5003E" w:rsidRDefault="00000088" w:rsidP="00E111D3">
      <w:pPr>
        <w:ind w:firstLine="720"/>
        <w:jc w:val="both"/>
        <w:rPr>
          <w:sz w:val="24"/>
          <w:szCs w:val="24"/>
        </w:rPr>
      </w:pPr>
      <w:r w:rsidRPr="00B5003E">
        <w:rPr>
          <w:rFonts w:eastAsia="Arial Unicode MS"/>
          <w:bCs/>
          <w:sz w:val="24"/>
          <w:szCs w:val="24"/>
        </w:rPr>
        <w:lastRenderedPageBreak/>
        <w:t xml:space="preserve">Therefore, the results of research conducted by researchers as well as the theory, as well as the </w:t>
      </w:r>
      <w:proofErr w:type="spellStart"/>
      <w:r w:rsidRPr="00B5003E">
        <w:rPr>
          <w:rFonts w:eastAsia="Arial Unicode MS"/>
          <w:bCs/>
          <w:sz w:val="24"/>
          <w:szCs w:val="24"/>
        </w:rPr>
        <w:t>opinionspresented</w:t>
      </w:r>
      <w:proofErr w:type="spellEnd"/>
      <w:r w:rsidRPr="00B5003E">
        <w:rPr>
          <w:rFonts w:eastAsia="Arial Unicode MS"/>
          <w:bCs/>
          <w:sz w:val="24"/>
          <w:szCs w:val="24"/>
        </w:rPr>
        <w:t xml:space="preserve"> above, are about the influence </w:t>
      </w:r>
      <w:r w:rsidRPr="00B5003E">
        <w:rPr>
          <w:rFonts w:eastAsia="Arial Unicode MS"/>
          <w:bCs/>
          <w:i/>
          <w:iCs/>
          <w:sz w:val="24"/>
          <w:szCs w:val="24"/>
        </w:rPr>
        <w:t>Current Ratio</w:t>
      </w:r>
      <w:r w:rsidRPr="00B5003E">
        <w:rPr>
          <w:rFonts w:eastAsia="Arial Unicode MS"/>
          <w:bCs/>
          <w:sz w:val="24"/>
          <w:szCs w:val="24"/>
        </w:rPr>
        <w:t xml:space="preserve"> to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w:t>
      </w:r>
      <w:r w:rsidRPr="00B5003E">
        <w:rPr>
          <w:rFonts w:eastAsia="Arial Unicode MS"/>
          <w:bCs/>
          <w:sz w:val="24"/>
          <w:szCs w:val="24"/>
        </w:rPr>
        <w:t xml:space="preserve"> then the authors conclude that there is </w:t>
      </w:r>
      <w:proofErr w:type="spellStart"/>
      <w:r w:rsidRPr="00B5003E">
        <w:rPr>
          <w:rFonts w:eastAsia="Arial Unicode MS"/>
          <w:bCs/>
          <w:sz w:val="24"/>
          <w:szCs w:val="24"/>
        </w:rPr>
        <w:t>aconformity</w:t>
      </w:r>
      <w:proofErr w:type="spellEnd"/>
      <w:r w:rsidRPr="00B5003E">
        <w:rPr>
          <w:rFonts w:eastAsia="Arial Unicode MS"/>
          <w:bCs/>
          <w:sz w:val="24"/>
          <w:szCs w:val="24"/>
        </w:rPr>
        <w:t xml:space="preserve"> between the results of the researchers and the theory. So, the authors conclude that the effect </w:t>
      </w:r>
      <w:r w:rsidRPr="00B5003E">
        <w:rPr>
          <w:rFonts w:eastAsia="Arial Unicode MS"/>
          <w:bCs/>
          <w:i/>
          <w:iCs/>
          <w:sz w:val="24"/>
          <w:szCs w:val="24"/>
        </w:rPr>
        <w:t>Current Ratio</w:t>
      </w:r>
      <w:r w:rsidRPr="00B5003E">
        <w:rPr>
          <w:rFonts w:eastAsia="Arial Unicode MS"/>
          <w:bCs/>
          <w:sz w:val="24"/>
          <w:szCs w:val="24"/>
        </w:rPr>
        <w:t xml:space="preserve"> to </w:t>
      </w:r>
      <w:r w:rsidRPr="00B5003E">
        <w:rPr>
          <w:rFonts w:eastAsia="Arial Unicode MS"/>
          <w:bCs/>
          <w:i/>
          <w:iCs/>
          <w:sz w:val="24"/>
          <w:szCs w:val="24"/>
        </w:rPr>
        <w:t>Return</w:t>
      </w:r>
      <w:r w:rsidR="00E111D3">
        <w:rPr>
          <w:rFonts w:eastAsia="Arial Unicode MS"/>
          <w:bCs/>
          <w:i/>
          <w:iCs/>
          <w:sz w:val="24"/>
          <w:szCs w:val="24"/>
        </w:rPr>
        <w:t xml:space="preserve">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r w:rsidRPr="00B5003E">
        <w:rPr>
          <w:rFonts w:eastAsia="Arial Unicode MS"/>
          <w:bCs/>
          <w:sz w:val="24"/>
          <w:szCs w:val="24"/>
        </w:rPr>
        <w:t xml:space="preserve">is not a significant effect on the Transportation Sector which is listed on the Indonesia Stock Exchange for </w:t>
      </w:r>
      <w:proofErr w:type="spellStart"/>
      <w:r w:rsidRPr="00B5003E">
        <w:rPr>
          <w:rFonts w:eastAsia="Arial Unicode MS"/>
          <w:bCs/>
          <w:sz w:val="24"/>
          <w:szCs w:val="24"/>
        </w:rPr>
        <w:t>theperiod</w:t>
      </w:r>
      <w:proofErr w:type="spellEnd"/>
      <w:r w:rsidRPr="00B5003E">
        <w:rPr>
          <w:rFonts w:eastAsia="Arial Unicode MS"/>
          <w:bCs/>
          <w:sz w:val="24"/>
          <w:szCs w:val="24"/>
        </w:rPr>
        <w:t xml:space="preserve"> 2015-2019.</w:t>
      </w:r>
    </w:p>
    <w:p w:rsidR="00000088" w:rsidRPr="00B5003E" w:rsidRDefault="00000088" w:rsidP="00000088">
      <w:pPr>
        <w:rPr>
          <w:sz w:val="24"/>
          <w:szCs w:val="24"/>
        </w:rPr>
      </w:pPr>
    </w:p>
    <w:p w:rsidR="00E111D3" w:rsidRDefault="00000088" w:rsidP="00E111D3">
      <w:pPr>
        <w:rPr>
          <w:b/>
          <w:sz w:val="24"/>
          <w:szCs w:val="24"/>
        </w:rPr>
      </w:pPr>
      <w:r w:rsidRPr="00B5003E">
        <w:rPr>
          <w:rFonts w:eastAsia="Arial Unicode MS"/>
          <w:b/>
          <w:bCs/>
          <w:sz w:val="24"/>
          <w:szCs w:val="24"/>
        </w:rPr>
        <w:t xml:space="preserve">Influence </w:t>
      </w:r>
      <w:r w:rsidRPr="00B5003E">
        <w:rPr>
          <w:rFonts w:eastAsia="Arial Unicode MS"/>
          <w:b/>
          <w:bCs/>
          <w:i/>
          <w:iCs/>
          <w:sz w:val="24"/>
          <w:szCs w:val="24"/>
        </w:rPr>
        <w:t xml:space="preserve">Debt </w:t>
      </w:r>
      <w:proofErr w:type="gramStart"/>
      <w:r w:rsidRPr="00B5003E">
        <w:rPr>
          <w:rFonts w:eastAsia="Arial Unicode MS"/>
          <w:b/>
          <w:bCs/>
          <w:i/>
          <w:iCs/>
          <w:sz w:val="24"/>
          <w:szCs w:val="24"/>
        </w:rPr>
        <w:t>To</w:t>
      </w:r>
      <w:proofErr w:type="gramEnd"/>
      <w:r w:rsidRPr="00B5003E">
        <w:rPr>
          <w:rFonts w:eastAsia="Arial Unicode MS"/>
          <w:b/>
          <w:bCs/>
          <w:i/>
          <w:iCs/>
          <w:sz w:val="24"/>
          <w:szCs w:val="24"/>
        </w:rPr>
        <w:t xml:space="preserve"> Equity Ratio </w:t>
      </w:r>
      <w:r w:rsidRPr="00E83B7E">
        <w:rPr>
          <w:rFonts w:eastAsia="Arial Unicode MS"/>
          <w:b/>
          <w:bCs/>
          <w:iCs/>
          <w:sz w:val="24"/>
          <w:szCs w:val="24"/>
        </w:rPr>
        <w:t>(</w:t>
      </w:r>
      <w:r w:rsidRPr="00B5003E">
        <w:rPr>
          <w:rFonts w:eastAsia="Arial Unicode MS"/>
          <w:b/>
          <w:bCs/>
          <w:sz w:val="24"/>
          <w:szCs w:val="24"/>
        </w:rPr>
        <w:t xml:space="preserve">DER) against </w:t>
      </w:r>
      <w:r w:rsidRPr="00B5003E">
        <w:rPr>
          <w:rFonts w:eastAsia="Arial Unicode MS"/>
          <w:b/>
          <w:bCs/>
          <w:i/>
          <w:iCs/>
          <w:sz w:val="24"/>
          <w:szCs w:val="24"/>
        </w:rPr>
        <w:t xml:space="preserve">Return On Equity </w:t>
      </w:r>
      <w:r w:rsidRPr="00E83B7E">
        <w:rPr>
          <w:rFonts w:eastAsia="Arial Unicode MS"/>
          <w:b/>
          <w:bCs/>
          <w:iCs/>
          <w:sz w:val="24"/>
          <w:szCs w:val="24"/>
        </w:rPr>
        <w:t>(</w:t>
      </w:r>
      <w:r w:rsidRPr="00B5003E">
        <w:rPr>
          <w:rFonts w:eastAsia="Arial Unicode MS"/>
          <w:b/>
          <w:bCs/>
          <w:sz w:val="24"/>
          <w:szCs w:val="24"/>
        </w:rPr>
        <w:t>ROE)</w:t>
      </w:r>
    </w:p>
    <w:p w:rsidR="00000088" w:rsidRPr="00B5003E" w:rsidRDefault="00000088" w:rsidP="00E83B7E">
      <w:pPr>
        <w:ind w:firstLine="720"/>
        <w:jc w:val="both"/>
        <w:rPr>
          <w:sz w:val="24"/>
          <w:szCs w:val="24"/>
        </w:rPr>
      </w:pPr>
      <w:r w:rsidRPr="00B5003E">
        <w:rPr>
          <w:rFonts w:eastAsia="Arial Unicode MS"/>
          <w:bCs/>
          <w:sz w:val="24"/>
          <w:szCs w:val="24"/>
        </w:rPr>
        <w:t xml:space="preserve">Based on the research results obtained regarding the influence </w:t>
      </w:r>
      <w:r w:rsidRPr="00B5003E">
        <w:rPr>
          <w:rFonts w:eastAsia="Arial Unicode MS"/>
          <w:bCs/>
          <w:i/>
          <w:iCs/>
          <w:sz w:val="24"/>
          <w:szCs w:val="24"/>
        </w:rPr>
        <w:t xml:space="preserve">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w:t>
      </w:r>
      <w:r w:rsidR="00E111D3">
        <w:rPr>
          <w:b/>
          <w:sz w:val="24"/>
          <w:szCs w:val="24"/>
        </w:rPr>
        <w:t xml:space="preserve"> </w:t>
      </w:r>
      <w:r w:rsidRPr="00B5003E">
        <w:rPr>
          <w:rFonts w:eastAsia="Arial Unicode MS"/>
          <w:bCs/>
          <w:sz w:val="24"/>
          <w:szCs w:val="24"/>
        </w:rPr>
        <w:t xml:space="preserve">(DER) against </w:t>
      </w:r>
      <w:r w:rsidRPr="00B5003E">
        <w:rPr>
          <w:rFonts w:eastAsia="Arial Unicode MS"/>
          <w:bCs/>
          <w:i/>
          <w:iCs/>
          <w:sz w:val="24"/>
          <w:szCs w:val="24"/>
        </w:rPr>
        <w:t xml:space="preserve">Return On Equity </w:t>
      </w:r>
      <w:r w:rsidRPr="00E83B7E">
        <w:rPr>
          <w:rFonts w:eastAsia="Arial Unicode MS"/>
          <w:bCs/>
          <w:iCs/>
          <w:sz w:val="24"/>
          <w:szCs w:val="24"/>
        </w:rPr>
        <w:t>(</w:t>
      </w:r>
      <w:r w:rsidRPr="00B5003E">
        <w:rPr>
          <w:rFonts w:eastAsia="Arial Unicode MS"/>
          <w:bCs/>
          <w:sz w:val="24"/>
          <w:szCs w:val="24"/>
        </w:rPr>
        <w:t xml:space="preserve">ROE) in automotive companies listed on the Indonesia Stock Exchange. The result of hypothesis test partially shows that the value of t count for variables </w:t>
      </w:r>
      <w:r w:rsidRPr="00B5003E">
        <w:rPr>
          <w:rFonts w:eastAsia="Arial Unicode MS"/>
          <w:bCs/>
          <w:i/>
          <w:iCs/>
          <w:sz w:val="24"/>
          <w:szCs w:val="24"/>
        </w:rPr>
        <w:t xml:space="preserve">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 </w:t>
      </w:r>
      <w:r w:rsidRPr="00E83B7E">
        <w:rPr>
          <w:rFonts w:eastAsia="Arial Unicode MS"/>
          <w:bCs/>
          <w:iCs/>
          <w:sz w:val="24"/>
          <w:szCs w:val="24"/>
        </w:rPr>
        <w:t>(</w:t>
      </w:r>
      <w:r w:rsidRPr="00B5003E">
        <w:rPr>
          <w:rFonts w:eastAsia="Arial Unicode MS"/>
          <w:bCs/>
          <w:sz w:val="24"/>
          <w:szCs w:val="24"/>
        </w:rPr>
        <w:t>DER) is -0.192 and t table where α = 5% is known to be 2.034</w:t>
      </w:r>
      <w:r w:rsidR="00E83B7E">
        <w:rPr>
          <w:rFonts w:eastAsia="Arial Unicode MS"/>
          <w:bCs/>
          <w:sz w:val="24"/>
          <w:szCs w:val="24"/>
        </w:rPr>
        <w:t>. Thus –</w:t>
      </w:r>
      <w:proofErr w:type="spellStart"/>
      <w:r w:rsidR="00E83B7E">
        <w:rPr>
          <w:rFonts w:eastAsia="Arial Unicode MS"/>
          <w:bCs/>
          <w:sz w:val="24"/>
          <w:szCs w:val="24"/>
        </w:rPr>
        <w:t>t</w:t>
      </w:r>
      <w:r w:rsidR="00E83B7E" w:rsidRPr="00E83B7E">
        <w:rPr>
          <w:rFonts w:eastAsia="Arial Unicode MS"/>
          <w:bCs/>
          <w:sz w:val="24"/>
          <w:szCs w:val="24"/>
          <w:vertAlign w:val="subscript"/>
        </w:rPr>
        <w:t>count</w:t>
      </w:r>
      <w:proofErr w:type="spellEnd"/>
      <w:r w:rsidR="00E83B7E">
        <w:rPr>
          <w:rFonts w:eastAsia="Arial Unicode MS"/>
          <w:bCs/>
          <w:sz w:val="24"/>
          <w:szCs w:val="24"/>
        </w:rPr>
        <w:t xml:space="preserve"> smaller than </w:t>
      </w:r>
      <w:proofErr w:type="spellStart"/>
      <w:r w:rsidR="00E83B7E">
        <w:rPr>
          <w:rFonts w:eastAsia="Arial Unicode MS"/>
          <w:bCs/>
          <w:sz w:val="24"/>
          <w:szCs w:val="24"/>
        </w:rPr>
        <w:t>t</w:t>
      </w:r>
      <w:r w:rsidRPr="00E83B7E">
        <w:rPr>
          <w:rFonts w:eastAsia="Arial Unicode MS"/>
          <w:bCs/>
          <w:sz w:val="24"/>
          <w:szCs w:val="24"/>
          <w:vertAlign w:val="subscript"/>
        </w:rPr>
        <w:t>table</w:t>
      </w:r>
      <w:proofErr w:type="spellEnd"/>
      <w:r w:rsidRPr="00B5003E">
        <w:rPr>
          <w:rFonts w:eastAsia="Arial Unicode MS"/>
          <w:bCs/>
          <w:sz w:val="24"/>
          <w:szCs w:val="24"/>
        </w:rPr>
        <w:t xml:space="preserve"> (- 0.192&gt; 2.034) and a significant value of 0.255 (</w:t>
      </w:r>
      <w:r w:rsidR="00E83B7E">
        <w:rPr>
          <w:rFonts w:eastAsia="Arial Unicode MS"/>
          <w:bCs/>
          <w:sz w:val="24"/>
          <w:szCs w:val="24"/>
        </w:rPr>
        <w:t>greater than 0.05) means that H</w:t>
      </w:r>
      <w:r w:rsidRPr="00E83B7E">
        <w:rPr>
          <w:rFonts w:eastAsia="Arial Unicode MS"/>
          <w:bCs/>
          <w:sz w:val="24"/>
          <w:szCs w:val="24"/>
          <w:vertAlign w:val="subscript"/>
        </w:rPr>
        <w:t>o</w:t>
      </w:r>
      <w:r w:rsidR="00E83B7E">
        <w:rPr>
          <w:rFonts w:eastAsia="Arial Unicode MS"/>
          <w:bCs/>
          <w:sz w:val="24"/>
          <w:szCs w:val="24"/>
        </w:rPr>
        <w:t xml:space="preserve"> accepted and H</w:t>
      </w:r>
      <w:r w:rsidRPr="00E83B7E">
        <w:rPr>
          <w:rFonts w:eastAsia="Arial Unicode MS"/>
          <w:bCs/>
          <w:sz w:val="24"/>
          <w:szCs w:val="24"/>
          <w:vertAlign w:val="subscript"/>
        </w:rPr>
        <w:t>a</w:t>
      </w:r>
      <w:r w:rsidRPr="00B5003E">
        <w:rPr>
          <w:rFonts w:eastAsia="Arial Unicode MS"/>
          <w:bCs/>
          <w:sz w:val="24"/>
          <w:szCs w:val="24"/>
        </w:rPr>
        <w:t xml:space="preserve"> rejected. Based on these results, it shows that partially there is no and not significant effect </w:t>
      </w:r>
      <w:r w:rsidRPr="00B5003E">
        <w:rPr>
          <w:rFonts w:eastAsia="Arial Unicode MS"/>
          <w:bCs/>
          <w:i/>
          <w:iCs/>
          <w:sz w:val="24"/>
          <w:szCs w:val="24"/>
        </w:rPr>
        <w:t>Debt To Equity Ratio</w:t>
      </w:r>
      <w:r w:rsidR="00E83B7E">
        <w:rPr>
          <w:b/>
          <w:sz w:val="24"/>
          <w:szCs w:val="24"/>
        </w:rPr>
        <w:t xml:space="preserve"> </w:t>
      </w:r>
      <w:r w:rsidRPr="00B5003E">
        <w:rPr>
          <w:rFonts w:eastAsia="Arial Unicode MS"/>
          <w:bCs/>
          <w:sz w:val="24"/>
          <w:szCs w:val="24"/>
        </w:rPr>
        <w:t xml:space="preserve">(DER) against </w:t>
      </w:r>
      <w:r w:rsidRPr="00B5003E">
        <w:rPr>
          <w:rFonts w:eastAsia="Arial Unicode MS"/>
          <w:bCs/>
          <w:i/>
          <w:iCs/>
          <w:sz w:val="24"/>
          <w:szCs w:val="24"/>
        </w:rPr>
        <w:t xml:space="preserve">Return On Equity </w:t>
      </w:r>
      <w:r w:rsidRPr="00E83B7E">
        <w:rPr>
          <w:rFonts w:eastAsia="Arial Unicode MS"/>
          <w:bCs/>
          <w:iCs/>
          <w:sz w:val="24"/>
          <w:szCs w:val="24"/>
        </w:rPr>
        <w:t>(</w:t>
      </w:r>
      <w:r w:rsidRPr="00B5003E">
        <w:rPr>
          <w:rFonts w:eastAsia="Arial Unicode MS"/>
          <w:bCs/>
          <w:sz w:val="24"/>
          <w:szCs w:val="24"/>
        </w:rPr>
        <w:t>ROE) in transportation companies listed on the Indonesia Stock Exchange for the period 2015-2019. This is because the company has heavy debts</w:t>
      </w:r>
      <w:bookmarkStart w:id="11" w:name="page14"/>
      <w:bookmarkEnd w:id="11"/>
      <w:r w:rsidR="00E83B7E">
        <w:rPr>
          <w:rFonts w:eastAsia="Arial Unicode MS"/>
          <w:bCs/>
          <w:sz w:val="24"/>
          <w:szCs w:val="24"/>
        </w:rPr>
        <w:t xml:space="preserve"> </w:t>
      </w:r>
      <w:r w:rsidRPr="00B5003E">
        <w:rPr>
          <w:rFonts w:eastAsia="Arial Unicode MS"/>
          <w:bCs/>
          <w:sz w:val="24"/>
          <w:szCs w:val="24"/>
        </w:rPr>
        <w:t>high, indicating that the company has a responsibility to a third party to complete its obligations. On the other hand, the high use of debt indicates that the company needs additional funds to increase its business to get more profit. However, investors are not interested in companies that have high debt levels because they have the potential to generate high risk as well.</w:t>
      </w:r>
    </w:p>
    <w:p w:rsidR="00E83B7E" w:rsidRDefault="00000088" w:rsidP="00E83B7E">
      <w:pPr>
        <w:ind w:right="100" w:firstLine="720"/>
        <w:jc w:val="both"/>
        <w:rPr>
          <w:sz w:val="24"/>
          <w:szCs w:val="24"/>
        </w:rPr>
      </w:pPr>
      <w:r w:rsidRPr="00B5003E">
        <w:rPr>
          <w:rFonts w:eastAsia="Arial Unicode MS"/>
          <w:bCs/>
          <w:i/>
          <w:iCs/>
          <w:sz w:val="24"/>
          <w:szCs w:val="24"/>
        </w:rPr>
        <w:t xml:space="preserve">Debt To Equity Ratio </w:t>
      </w:r>
      <w:proofErr w:type="gramStart"/>
      <w:r w:rsidRPr="00B5003E">
        <w:rPr>
          <w:rFonts w:eastAsia="Arial Unicode MS"/>
          <w:bCs/>
          <w:i/>
          <w:iCs/>
          <w:sz w:val="24"/>
          <w:szCs w:val="24"/>
        </w:rPr>
        <w:t xml:space="preserve">( </w:t>
      </w:r>
      <w:r w:rsidRPr="00B5003E">
        <w:rPr>
          <w:rFonts w:eastAsia="Arial Unicode MS"/>
          <w:bCs/>
          <w:sz w:val="24"/>
          <w:szCs w:val="24"/>
        </w:rPr>
        <w:t>DER</w:t>
      </w:r>
      <w:proofErr w:type="gramEnd"/>
      <w:r w:rsidRPr="00B5003E">
        <w:rPr>
          <w:rFonts w:eastAsia="Arial Unicode MS"/>
          <w:bCs/>
          <w:sz w:val="24"/>
          <w:szCs w:val="24"/>
        </w:rPr>
        <w:t>) is a ratio that compares total debt to total assets. The higher the value</w:t>
      </w:r>
      <w:r w:rsidRPr="00B5003E">
        <w:rPr>
          <w:rFonts w:eastAsia="Arial Unicode MS"/>
          <w:bCs/>
          <w:i/>
          <w:iCs/>
          <w:sz w:val="24"/>
          <w:szCs w:val="24"/>
        </w:rPr>
        <w:t xml:space="preserve"> Debt To Equity Ratio </w:t>
      </w:r>
      <w:proofErr w:type="gramStart"/>
      <w:r w:rsidRPr="00B5003E">
        <w:rPr>
          <w:rFonts w:eastAsia="Arial Unicode MS"/>
          <w:bCs/>
          <w:i/>
          <w:iCs/>
          <w:sz w:val="24"/>
          <w:szCs w:val="24"/>
        </w:rPr>
        <w:t xml:space="preserve">( </w:t>
      </w:r>
      <w:r w:rsidRPr="00B5003E">
        <w:rPr>
          <w:rFonts w:eastAsia="Arial Unicode MS"/>
          <w:bCs/>
          <w:sz w:val="24"/>
          <w:szCs w:val="24"/>
        </w:rPr>
        <w:t>DER</w:t>
      </w:r>
      <w:proofErr w:type="gramEnd"/>
      <w:r w:rsidRPr="00B5003E">
        <w:rPr>
          <w:rFonts w:eastAsia="Arial Unicode MS"/>
          <w:bCs/>
          <w:sz w:val="24"/>
          <w:szCs w:val="24"/>
        </w:rPr>
        <w:t xml:space="preserve">) shows the large number of assets financed by debt, making it difficult for the </w:t>
      </w:r>
      <w:proofErr w:type="spellStart"/>
      <w:r w:rsidRPr="00B5003E">
        <w:rPr>
          <w:rFonts w:eastAsia="Arial Unicode MS"/>
          <w:bCs/>
          <w:sz w:val="24"/>
          <w:szCs w:val="24"/>
        </w:rPr>
        <w:t>companyto</w:t>
      </w:r>
      <w:proofErr w:type="spellEnd"/>
      <w:r w:rsidRPr="00B5003E">
        <w:rPr>
          <w:rFonts w:eastAsia="Arial Unicode MS"/>
          <w:bCs/>
          <w:sz w:val="24"/>
          <w:szCs w:val="24"/>
        </w:rPr>
        <w:t xml:space="preserve"> obtain additional loans from creditors because it is feared that the company will not be able to pay off its debts. Conversely, the lower the value </w:t>
      </w:r>
      <w:r w:rsidRPr="00B5003E">
        <w:rPr>
          <w:rFonts w:eastAsia="Arial Unicode MS"/>
          <w:bCs/>
          <w:i/>
          <w:iCs/>
          <w:sz w:val="24"/>
          <w:szCs w:val="24"/>
        </w:rPr>
        <w:t xml:space="preserve">Debt To Equity Ratio </w:t>
      </w:r>
      <w:proofErr w:type="gramStart"/>
      <w:r w:rsidRPr="00B5003E">
        <w:rPr>
          <w:rFonts w:eastAsia="Arial Unicode MS"/>
          <w:bCs/>
          <w:i/>
          <w:iCs/>
          <w:sz w:val="24"/>
          <w:szCs w:val="24"/>
        </w:rPr>
        <w:t>(</w:t>
      </w:r>
      <w:r w:rsidRPr="00B5003E">
        <w:rPr>
          <w:rFonts w:eastAsia="Arial Unicode MS"/>
          <w:bCs/>
          <w:sz w:val="24"/>
          <w:szCs w:val="24"/>
        </w:rPr>
        <w:t xml:space="preserve"> DER</w:t>
      </w:r>
      <w:proofErr w:type="gramEnd"/>
      <w:r w:rsidRPr="00B5003E">
        <w:rPr>
          <w:rFonts w:eastAsia="Arial Unicode MS"/>
          <w:bCs/>
          <w:sz w:val="24"/>
          <w:szCs w:val="24"/>
        </w:rPr>
        <w:t>), the better the company's image in the eyes of creditors because the total assets owned by the company are financed by its own capital and the company will be able to easily make loans to creditors.</w:t>
      </w:r>
    </w:p>
    <w:p w:rsidR="00E83B7E" w:rsidRDefault="00000088" w:rsidP="00E83B7E">
      <w:pPr>
        <w:ind w:right="100" w:firstLine="720"/>
        <w:jc w:val="both"/>
        <w:rPr>
          <w:sz w:val="24"/>
          <w:szCs w:val="24"/>
        </w:rPr>
      </w:pPr>
      <w:r w:rsidRPr="00B5003E">
        <w:rPr>
          <w:rFonts w:eastAsia="Arial Unicode MS"/>
          <w:bCs/>
          <w:sz w:val="24"/>
          <w:szCs w:val="24"/>
        </w:rPr>
        <w:t>The results of this study are in line with the results of research conducted by (</w:t>
      </w:r>
      <w:proofErr w:type="spellStart"/>
      <w:r w:rsidRPr="00B5003E">
        <w:rPr>
          <w:rFonts w:eastAsia="Arial Unicode MS"/>
          <w:bCs/>
          <w:sz w:val="24"/>
          <w:szCs w:val="24"/>
        </w:rPr>
        <w:t>Destari</w:t>
      </w:r>
      <w:proofErr w:type="spellEnd"/>
      <w:r w:rsidRPr="00B5003E">
        <w:rPr>
          <w:rFonts w:eastAsia="Arial Unicode MS"/>
          <w:bCs/>
          <w:sz w:val="24"/>
          <w:szCs w:val="24"/>
        </w:rPr>
        <w:t xml:space="preserve"> &amp; </w:t>
      </w:r>
      <w:proofErr w:type="spellStart"/>
      <w:r w:rsidRPr="00B5003E">
        <w:rPr>
          <w:rFonts w:eastAsia="Arial Unicode MS"/>
          <w:bCs/>
          <w:sz w:val="24"/>
          <w:szCs w:val="24"/>
        </w:rPr>
        <w:t>Hendratno</w:t>
      </w:r>
      <w:proofErr w:type="spellEnd"/>
      <w:r w:rsidRPr="00B5003E">
        <w:rPr>
          <w:rFonts w:eastAsia="Arial Unicode MS"/>
          <w:bCs/>
          <w:sz w:val="24"/>
          <w:szCs w:val="24"/>
        </w:rPr>
        <w:t>, 2019) and (</w:t>
      </w:r>
      <w:proofErr w:type="spellStart"/>
      <w:r w:rsidRPr="00B5003E">
        <w:rPr>
          <w:rFonts w:eastAsia="Arial Unicode MS"/>
          <w:bCs/>
          <w:sz w:val="24"/>
          <w:szCs w:val="24"/>
        </w:rPr>
        <w:t>Juandi</w:t>
      </w:r>
      <w:proofErr w:type="spellEnd"/>
      <w:r w:rsidRPr="00B5003E">
        <w:rPr>
          <w:rFonts w:eastAsia="Arial Unicode MS"/>
          <w:bCs/>
          <w:sz w:val="24"/>
          <w:szCs w:val="24"/>
        </w:rPr>
        <w:t xml:space="preserve"> et al., 2019) which state that </w:t>
      </w:r>
      <w:r w:rsidRPr="00B5003E">
        <w:rPr>
          <w:rFonts w:eastAsia="Arial Unicode MS"/>
          <w:bCs/>
          <w:i/>
          <w:iCs/>
          <w:sz w:val="24"/>
          <w:szCs w:val="24"/>
        </w:rPr>
        <w:t xml:space="preserve">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Asset Ratio</w:t>
      </w:r>
      <w:r w:rsidRPr="00B5003E">
        <w:rPr>
          <w:rFonts w:eastAsia="Arial Unicode MS"/>
          <w:bCs/>
          <w:sz w:val="24"/>
          <w:szCs w:val="24"/>
        </w:rPr>
        <w:t xml:space="preserve"> has no significant effect on </w:t>
      </w:r>
      <w:r w:rsidRPr="00B5003E">
        <w:rPr>
          <w:rFonts w:eastAsia="Arial Unicode MS"/>
          <w:bCs/>
          <w:i/>
          <w:iCs/>
          <w:sz w:val="24"/>
          <w:szCs w:val="24"/>
        </w:rPr>
        <w:t xml:space="preserve">Return </w:t>
      </w:r>
      <w:proofErr w:type="spellStart"/>
      <w:r w:rsidRPr="00B5003E">
        <w:rPr>
          <w:rFonts w:eastAsia="Arial Unicode MS"/>
          <w:bCs/>
          <w:i/>
          <w:iCs/>
          <w:sz w:val="24"/>
          <w:szCs w:val="24"/>
        </w:rPr>
        <w:t>OnEquity</w:t>
      </w:r>
      <w:proofErr w:type="spellEnd"/>
      <w:r w:rsidRPr="00B5003E">
        <w:rPr>
          <w:rFonts w:eastAsia="Arial Unicode MS"/>
          <w:bCs/>
          <w:i/>
          <w:iCs/>
          <w:sz w:val="24"/>
          <w:szCs w:val="24"/>
        </w:rPr>
        <w:t xml:space="preserve">. </w:t>
      </w:r>
      <w:r w:rsidRPr="00B5003E">
        <w:rPr>
          <w:rFonts w:eastAsia="Arial Unicode MS"/>
          <w:bCs/>
          <w:sz w:val="24"/>
          <w:szCs w:val="24"/>
        </w:rPr>
        <w:t>But this research is not in line with the results of research (</w:t>
      </w:r>
      <w:proofErr w:type="spellStart"/>
      <w:r w:rsidRPr="00B5003E">
        <w:rPr>
          <w:rFonts w:eastAsia="Arial Unicode MS"/>
          <w:bCs/>
          <w:sz w:val="24"/>
          <w:szCs w:val="24"/>
        </w:rPr>
        <w:t>Sipahutar</w:t>
      </w:r>
      <w:proofErr w:type="spellEnd"/>
      <w:r w:rsidRPr="00B5003E">
        <w:rPr>
          <w:rFonts w:eastAsia="Arial Unicode MS"/>
          <w:bCs/>
          <w:sz w:val="24"/>
          <w:szCs w:val="24"/>
        </w:rPr>
        <w:t xml:space="preserve"> &amp; </w:t>
      </w:r>
      <w:proofErr w:type="spellStart"/>
      <w:r w:rsidRPr="00B5003E">
        <w:rPr>
          <w:rFonts w:eastAsia="Arial Unicode MS"/>
          <w:bCs/>
          <w:sz w:val="24"/>
          <w:szCs w:val="24"/>
        </w:rPr>
        <w:t>Gultom</w:t>
      </w:r>
      <w:proofErr w:type="spellEnd"/>
      <w:r w:rsidRPr="00B5003E">
        <w:rPr>
          <w:rFonts w:eastAsia="Arial Unicode MS"/>
          <w:bCs/>
          <w:sz w:val="24"/>
          <w:szCs w:val="24"/>
        </w:rPr>
        <w:t>, 2017), (</w:t>
      </w:r>
      <w:proofErr w:type="spellStart"/>
      <w:r w:rsidRPr="00B5003E">
        <w:rPr>
          <w:rFonts w:eastAsia="Arial Unicode MS"/>
          <w:bCs/>
          <w:sz w:val="24"/>
          <w:szCs w:val="24"/>
        </w:rPr>
        <w:t>Jufrizen</w:t>
      </w:r>
      <w:proofErr w:type="spellEnd"/>
      <w:r w:rsidRPr="00B5003E">
        <w:rPr>
          <w:rFonts w:eastAsia="Arial Unicode MS"/>
          <w:bCs/>
          <w:sz w:val="24"/>
          <w:szCs w:val="24"/>
        </w:rPr>
        <w:t xml:space="preserve"> &amp; Sari</w:t>
      </w:r>
      <w:proofErr w:type="gramStart"/>
      <w:r w:rsidRPr="00B5003E">
        <w:rPr>
          <w:rFonts w:eastAsia="Arial Unicode MS"/>
          <w:bCs/>
          <w:sz w:val="24"/>
          <w:szCs w:val="24"/>
        </w:rPr>
        <w:t>,2019</w:t>
      </w:r>
      <w:proofErr w:type="gramEnd"/>
      <w:r w:rsidRPr="00B5003E">
        <w:rPr>
          <w:rFonts w:eastAsia="Arial Unicode MS"/>
          <w:bCs/>
          <w:sz w:val="24"/>
          <w:szCs w:val="24"/>
        </w:rPr>
        <w:t>), (</w:t>
      </w:r>
      <w:proofErr w:type="spellStart"/>
      <w:r w:rsidRPr="00B5003E">
        <w:rPr>
          <w:rFonts w:eastAsia="Arial Unicode MS"/>
          <w:bCs/>
          <w:sz w:val="24"/>
          <w:szCs w:val="24"/>
        </w:rPr>
        <w:t>Wahyuni</w:t>
      </w:r>
      <w:proofErr w:type="spellEnd"/>
      <w:r w:rsidRPr="00B5003E">
        <w:rPr>
          <w:rFonts w:eastAsia="Arial Unicode MS"/>
          <w:bCs/>
          <w:sz w:val="24"/>
          <w:szCs w:val="24"/>
        </w:rPr>
        <w:t xml:space="preserve"> &amp; </w:t>
      </w:r>
      <w:proofErr w:type="spellStart"/>
      <w:r w:rsidRPr="00B5003E">
        <w:rPr>
          <w:rFonts w:eastAsia="Arial Unicode MS"/>
          <w:bCs/>
          <w:sz w:val="24"/>
          <w:szCs w:val="24"/>
        </w:rPr>
        <w:t>Muslih</w:t>
      </w:r>
      <w:proofErr w:type="spellEnd"/>
      <w:r w:rsidRPr="00B5003E">
        <w:rPr>
          <w:rFonts w:eastAsia="Arial Unicode MS"/>
          <w:bCs/>
          <w:sz w:val="24"/>
          <w:szCs w:val="24"/>
        </w:rPr>
        <w:t>, 2017) and (</w:t>
      </w:r>
      <w:proofErr w:type="spellStart"/>
      <w:r w:rsidRPr="00B5003E">
        <w:rPr>
          <w:rFonts w:eastAsia="Arial Unicode MS"/>
          <w:bCs/>
          <w:sz w:val="24"/>
          <w:szCs w:val="24"/>
        </w:rPr>
        <w:t>Syarifuddin</w:t>
      </w:r>
      <w:proofErr w:type="spellEnd"/>
      <w:r w:rsidRPr="00B5003E">
        <w:rPr>
          <w:rFonts w:eastAsia="Arial Unicode MS"/>
          <w:bCs/>
          <w:sz w:val="24"/>
          <w:szCs w:val="24"/>
        </w:rPr>
        <w:t xml:space="preserve">, 2018) which states that </w:t>
      </w:r>
      <w:r w:rsidRPr="00B5003E">
        <w:rPr>
          <w:rFonts w:eastAsia="Arial Unicode MS"/>
          <w:bCs/>
          <w:i/>
          <w:iCs/>
          <w:sz w:val="24"/>
          <w:szCs w:val="24"/>
        </w:rPr>
        <w:t>Debt To Equity Ratio</w:t>
      </w:r>
      <w:r w:rsidRPr="00B5003E">
        <w:rPr>
          <w:rFonts w:eastAsia="Arial Unicode MS"/>
          <w:bCs/>
          <w:sz w:val="24"/>
          <w:szCs w:val="24"/>
        </w:rPr>
        <w:t xml:space="preserve"> significant effect on </w:t>
      </w:r>
      <w:r w:rsidRPr="00B5003E">
        <w:rPr>
          <w:rFonts w:eastAsia="Arial Unicode MS"/>
          <w:bCs/>
          <w:i/>
          <w:iCs/>
          <w:sz w:val="24"/>
          <w:szCs w:val="24"/>
        </w:rPr>
        <w:t>Return On Equity.</w:t>
      </w:r>
    </w:p>
    <w:p w:rsidR="00000088" w:rsidRPr="00E83B7E" w:rsidRDefault="00000088" w:rsidP="00E83B7E">
      <w:pPr>
        <w:ind w:right="100" w:firstLine="720"/>
        <w:jc w:val="both"/>
        <w:rPr>
          <w:sz w:val="24"/>
          <w:szCs w:val="24"/>
        </w:rPr>
      </w:pPr>
      <w:r w:rsidRPr="00B5003E">
        <w:rPr>
          <w:rFonts w:eastAsia="Arial Unicode MS"/>
          <w:bCs/>
          <w:sz w:val="24"/>
          <w:szCs w:val="24"/>
        </w:rPr>
        <w:t>The</w:t>
      </w:r>
      <w:r w:rsidR="00E83B7E">
        <w:rPr>
          <w:rFonts w:eastAsia="Arial Unicode MS"/>
          <w:bCs/>
          <w:sz w:val="24"/>
          <w:szCs w:val="24"/>
        </w:rPr>
        <w:t xml:space="preserve"> </w:t>
      </w:r>
      <w:proofErr w:type="spellStart"/>
      <w:r w:rsidRPr="00B5003E">
        <w:rPr>
          <w:rFonts w:eastAsia="Arial Unicode MS"/>
          <w:bCs/>
          <w:sz w:val="24"/>
          <w:szCs w:val="24"/>
        </w:rPr>
        <w:t>refore</w:t>
      </w:r>
      <w:proofErr w:type="spellEnd"/>
      <w:r w:rsidRPr="00B5003E">
        <w:rPr>
          <w:rFonts w:eastAsia="Arial Unicode MS"/>
          <w:bCs/>
          <w:sz w:val="24"/>
          <w:szCs w:val="24"/>
        </w:rPr>
        <w:t xml:space="preserve"> the results of the research conducted by the research as well as the theory as well as the income presented above are about influence </w:t>
      </w:r>
      <w:r w:rsidRPr="00B5003E">
        <w:rPr>
          <w:rFonts w:eastAsia="Arial Unicode MS"/>
          <w:bCs/>
          <w:i/>
          <w:iCs/>
          <w:sz w:val="24"/>
          <w:szCs w:val="24"/>
        </w:rPr>
        <w:t xml:space="preserve">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w:t>
      </w:r>
      <w:r w:rsidRPr="00B5003E">
        <w:rPr>
          <w:rFonts w:eastAsia="Arial Unicode MS"/>
          <w:bCs/>
          <w:sz w:val="24"/>
          <w:szCs w:val="24"/>
        </w:rPr>
        <w:t xml:space="preserve"> to </w:t>
      </w:r>
      <w:r w:rsidRPr="00B5003E">
        <w:rPr>
          <w:rFonts w:eastAsia="Arial Unicode MS"/>
          <w:bCs/>
          <w:i/>
          <w:iCs/>
          <w:sz w:val="24"/>
          <w:szCs w:val="24"/>
        </w:rPr>
        <w:t xml:space="preserve">Return On Equity. So the writer can conclude that </w:t>
      </w:r>
      <w:proofErr w:type="spellStart"/>
      <w:r w:rsidRPr="00B5003E">
        <w:rPr>
          <w:rFonts w:eastAsia="Arial Unicode MS"/>
          <w:bCs/>
          <w:i/>
          <w:iCs/>
          <w:sz w:val="24"/>
          <w:szCs w:val="24"/>
        </w:rPr>
        <w:t>thereis</w:t>
      </w:r>
      <w:proofErr w:type="spellEnd"/>
      <w:r w:rsidRPr="00B5003E">
        <w:rPr>
          <w:rFonts w:eastAsia="Arial Unicode MS"/>
          <w:bCs/>
          <w:i/>
          <w:iCs/>
          <w:sz w:val="24"/>
          <w:szCs w:val="24"/>
        </w:rPr>
        <w:t xml:space="preserve"> an agreement between the results of the research with the theory. So the writer can conclude that the 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 </w:t>
      </w:r>
      <w:r w:rsidRPr="00B5003E">
        <w:rPr>
          <w:rFonts w:eastAsia="Arial Unicode MS"/>
          <w:bCs/>
          <w:sz w:val="24"/>
          <w:szCs w:val="24"/>
        </w:rPr>
        <w:t>to</w:t>
      </w:r>
      <w:r w:rsidRPr="00B5003E">
        <w:rPr>
          <w:rFonts w:eastAsia="Arial Unicode MS"/>
          <w:bCs/>
          <w:i/>
          <w:iCs/>
          <w:sz w:val="24"/>
          <w:szCs w:val="24"/>
        </w:rPr>
        <w:t xml:space="preserve"> Return On Equity has no significant effect on </w:t>
      </w:r>
      <w:r w:rsidRPr="00B5003E">
        <w:rPr>
          <w:rFonts w:eastAsia="Arial Unicode MS"/>
          <w:bCs/>
          <w:sz w:val="24"/>
          <w:szCs w:val="24"/>
        </w:rPr>
        <w:t xml:space="preserve">Transportation sector listed on the Indonesia </w:t>
      </w:r>
      <w:proofErr w:type="spellStart"/>
      <w:r w:rsidRPr="00B5003E">
        <w:rPr>
          <w:rFonts w:eastAsia="Arial Unicode MS"/>
          <w:bCs/>
          <w:sz w:val="24"/>
          <w:szCs w:val="24"/>
        </w:rPr>
        <w:t>StockExchange</w:t>
      </w:r>
      <w:proofErr w:type="spellEnd"/>
      <w:r w:rsidRPr="00B5003E">
        <w:rPr>
          <w:rFonts w:eastAsia="Arial Unicode MS"/>
          <w:bCs/>
          <w:sz w:val="24"/>
          <w:szCs w:val="24"/>
        </w:rPr>
        <w:t xml:space="preserve"> for the period 2015-2019.</w:t>
      </w:r>
    </w:p>
    <w:p w:rsidR="00000088" w:rsidRPr="00B5003E" w:rsidRDefault="00000088" w:rsidP="00E111D3">
      <w:pPr>
        <w:ind w:right="360" w:firstLine="720"/>
        <w:jc w:val="both"/>
        <w:rPr>
          <w:rFonts w:eastAsia="Arial Unicode MS"/>
          <w:bCs/>
          <w:sz w:val="24"/>
          <w:szCs w:val="24"/>
        </w:rPr>
      </w:pPr>
    </w:p>
    <w:p w:rsidR="00000088" w:rsidRPr="00B5003E" w:rsidRDefault="00000088" w:rsidP="00000088">
      <w:pPr>
        <w:ind w:right="360" w:firstLine="720"/>
        <w:rPr>
          <w:rFonts w:eastAsia="Arial Unicode MS"/>
          <w:bCs/>
          <w:sz w:val="24"/>
          <w:szCs w:val="24"/>
        </w:rPr>
      </w:pPr>
    </w:p>
    <w:p w:rsidR="00E83B7E" w:rsidRDefault="00000088" w:rsidP="00E83B7E">
      <w:pPr>
        <w:rPr>
          <w:b/>
          <w:sz w:val="24"/>
          <w:szCs w:val="24"/>
        </w:rPr>
      </w:pPr>
      <w:r w:rsidRPr="00B5003E">
        <w:rPr>
          <w:rFonts w:eastAsia="Arial Unicode MS"/>
          <w:b/>
          <w:bCs/>
          <w:sz w:val="24"/>
          <w:szCs w:val="24"/>
        </w:rPr>
        <w:t xml:space="preserve">Influence </w:t>
      </w:r>
      <w:r w:rsidRPr="00B5003E">
        <w:rPr>
          <w:rFonts w:eastAsia="Arial Unicode MS"/>
          <w:b/>
          <w:bCs/>
          <w:i/>
          <w:iCs/>
          <w:sz w:val="24"/>
          <w:szCs w:val="24"/>
        </w:rPr>
        <w:t xml:space="preserve">Total Assets Turnover </w:t>
      </w:r>
      <w:r w:rsidRPr="00E83B7E">
        <w:rPr>
          <w:rFonts w:eastAsia="Arial Unicode MS"/>
          <w:b/>
          <w:bCs/>
          <w:iCs/>
          <w:sz w:val="24"/>
          <w:szCs w:val="24"/>
        </w:rPr>
        <w:t>(</w:t>
      </w:r>
      <w:r w:rsidR="00E83B7E">
        <w:rPr>
          <w:rFonts w:eastAsia="Arial Unicode MS"/>
          <w:b/>
          <w:bCs/>
          <w:sz w:val="24"/>
          <w:szCs w:val="24"/>
        </w:rPr>
        <w:t>TATO</w:t>
      </w:r>
      <w:r w:rsidRPr="00B5003E">
        <w:rPr>
          <w:rFonts w:eastAsia="Arial Unicode MS"/>
          <w:b/>
          <w:bCs/>
          <w:sz w:val="24"/>
          <w:szCs w:val="24"/>
        </w:rPr>
        <w:t xml:space="preserve">) against </w:t>
      </w:r>
      <w:r w:rsidRPr="00B5003E">
        <w:rPr>
          <w:rFonts w:eastAsia="Arial Unicode MS"/>
          <w:b/>
          <w:bCs/>
          <w:i/>
          <w:iCs/>
          <w:sz w:val="24"/>
          <w:szCs w:val="24"/>
        </w:rPr>
        <w:t xml:space="preserve">Return </w:t>
      </w:r>
      <w:proofErr w:type="gramStart"/>
      <w:r w:rsidRPr="00B5003E">
        <w:rPr>
          <w:rFonts w:eastAsia="Arial Unicode MS"/>
          <w:b/>
          <w:bCs/>
          <w:i/>
          <w:iCs/>
          <w:sz w:val="24"/>
          <w:szCs w:val="24"/>
        </w:rPr>
        <w:t>On</w:t>
      </w:r>
      <w:proofErr w:type="gramEnd"/>
      <w:r w:rsidRPr="00B5003E">
        <w:rPr>
          <w:rFonts w:eastAsia="Arial Unicode MS"/>
          <w:b/>
          <w:bCs/>
          <w:i/>
          <w:iCs/>
          <w:sz w:val="24"/>
          <w:szCs w:val="24"/>
        </w:rPr>
        <w:t xml:space="preserve"> Equity </w:t>
      </w:r>
      <w:r w:rsidRPr="00E83B7E">
        <w:rPr>
          <w:rFonts w:eastAsia="Arial Unicode MS"/>
          <w:b/>
          <w:bCs/>
          <w:iCs/>
          <w:sz w:val="24"/>
          <w:szCs w:val="24"/>
        </w:rPr>
        <w:t>(</w:t>
      </w:r>
      <w:r w:rsidRPr="00B5003E">
        <w:rPr>
          <w:rFonts w:eastAsia="Arial Unicode MS"/>
          <w:b/>
          <w:bCs/>
          <w:sz w:val="24"/>
          <w:szCs w:val="24"/>
        </w:rPr>
        <w:t>ROE)</w:t>
      </w:r>
    </w:p>
    <w:p w:rsidR="00000088" w:rsidRPr="00B5003E" w:rsidRDefault="00000088" w:rsidP="00C70872">
      <w:pPr>
        <w:ind w:firstLine="720"/>
        <w:jc w:val="both"/>
        <w:rPr>
          <w:sz w:val="24"/>
          <w:szCs w:val="24"/>
        </w:rPr>
      </w:pPr>
      <w:r w:rsidRPr="00B5003E">
        <w:rPr>
          <w:rFonts w:eastAsia="Arial Unicode MS"/>
          <w:bCs/>
          <w:sz w:val="24"/>
          <w:szCs w:val="24"/>
        </w:rPr>
        <w:t xml:space="preserve">Based on the research results obtained regarding the effect of Influence </w:t>
      </w:r>
      <w:r w:rsidRPr="00B5003E">
        <w:rPr>
          <w:rFonts w:eastAsia="Arial Unicode MS"/>
          <w:bCs/>
          <w:i/>
          <w:iCs/>
          <w:sz w:val="24"/>
          <w:szCs w:val="24"/>
        </w:rPr>
        <w:t xml:space="preserve">Total Asset Turnover </w:t>
      </w:r>
      <w:r w:rsidRPr="00C70872">
        <w:rPr>
          <w:rFonts w:eastAsia="Arial Unicode MS"/>
          <w:bCs/>
          <w:iCs/>
          <w:sz w:val="24"/>
          <w:szCs w:val="24"/>
        </w:rPr>
        <w:t>(</w:t>
      </w:r>
      <w:r w:rsidR="00C70872">
        <w:rPr>
          <w:rFonts w:eastAsia="Arial Unicode MS"/>
          <w:bCs/>
          <w:sz w:val="24"/>
          <w:szCs w:val="24"/>
        </w:rPr>
        <w:t>TATO</w:t>
      </w:r>
      <w:r w:rsidRPr="00B5003E">
        <w:rPr>
          <w:rFonts w:eastAsia="Arial Unicode MS"/>
          <w:bCs/>
          <w:sz w:val="24"/>
          <w:szCs w:val="24"/>
        </w:rPr>
        <w:t xml:space="preserve">) against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r w:rsidRPr="00C70872">
        <w:rPr>
          <w:rFonts w:eastAsia="Arial Unicode MS"/>
          <w:bCs/>
          <w:iCs/>
          <w:sz w:val="24"/>
          <w:szCs w:val="24"/>
        </w:rPr>
        <w:t>(</w:t>
      </w:r>
      <w:r w:rsidRPr="00B5003E">
        <w:rPr>
          <w:rFonts w:eastAsia="Arial Unicode MS"/>
          <w:bCs/>
          <w:sz w:val="24"/>
          <w:szCs w:val="24"/>
        </w:rPr>
        <w:t xml:space="preserve">ROE) at a transportation company listed on the Indonesia Stock Exchange. The result of hypothesis test partially shows that the value of t count </w:t>
      </w:r>
      <w:r w:rsidRPr="00B5003E">
        <w:rPr>
          <w:rFonts w:eastAsia="Arial Unicode MS"/>
          <w:bCs/>
          <w:sz w:val="24"/>
          <w:szCs w:val="24"/>
        </w:rPr>
        <w:lastRenderedPageBreak/>
        <w:t xml:space="preserve">for variables </w:t>
      </w:r>
      <w:r w:rsidRPr="00B5003E">
        <w:rPr>
          <w:rFonts w:eastAsia="Arial Unicode MS"/>
          <w:bCs/>
          <w:i/>
          <w:iCs/>
          <w:sz w:val="24"/>
          <w:szCs w:val="24"/>
        </w:rPr>
        <w:t xml:space="preserve">Total Asset Turnover </w:t>
      </w:r>
      <w:proofErr w:type="gramStart"/>
      <w:r w:rsidRPr="00B5003E">
        <w:rPr>
          <w:rFonts w:eastAsia="Arial Unicode MS"/>
          <w:bCs/>
          <w:i/>
          <w:iCs/>
          <w:sz w:val="24"/>
          <w:szCs w:val="24"/>
        </w:rPr>
        <w:t>(</w:t>
      </w:r>
      <w:r w:rsidRPr="00B5003E">
        <w:rPr>
          <w:rFonts w:eastAsia="Arial Unicode MS"/>
          <w:bCs/>
          <w:sz w:val="24"/>
          <w:szCs w:val="24"/>
        </w:rPr>
        <w:t xml:space="preserve"> TATO</w:t>
      </w:r>
      <w:proofErr w:type="gramEnd"/>
      <w:r w:rsidRPr="00B5003E">
        <w:rPr>
          <w:rFonts w:eastAsia="Arial Unicode MS"/>
          <w:bCs/>
          <w:sz w:val="24"/>
          <w:szCs w:val="24"/>
        </w:rPr>
        <w:t>) is 5,568 and t table where α = 5% is known as</w:t>
      </w:r>
      <w:r w:rsidR="00C70872">
        <w:rPr>
          <w:rFonts w:eastAsia="Arial Unicode MS"/>
          <w:bCs/>
          <w:sz w:val="24"/>
          <w:szCs w:val="24"/>
        </w:rPr>
        <w:t xml:space="preserve"> 2,034. Thus –</w:t>
      </w:r>
      <w:proofErr w:type="spellStart"/>
      <w:r w:rsidR="00C70872">
        <w:rPr>
          <w:rFonts w:eastAsia="Arial Unicode MS"/>
          <w:bCs/>
          <w:sz w:val="24"/>
          <w:szCs w:val="24"/>
        </w:rPr>
        <w:t>t</w:t>
      </w:r>
      <w:r w:rsidRPr="00C70872">
        <w:rPr>
          <w:rFonts w:eastAsia="Arial Unicode MS"/>
          <w:bCs/>
          <w:sz w:val="24"/>
          <w:szCs w:val="24"/>
          <w:vertAlign w:val="subscript"/>
        </w:rPr>
        <w:t>count</w:t>
      </w:r>
      <w:proofErr w:type="spellEnd"/>
      <w:r w:rsidR="00C70872">
        <w:rPr>
          <w:rFonts w:eastAsia="Arial Unicode MS"/>
          <w:bCs/>
          <w:sz w:val="24"/>
          <w:szCs w:val="24"/>
        </w:rPr>
        <w:t xml:space="preserve"> smaller than </w:t>
      </w:r>
      <w:proofErr w:type="spellStart"/>
      <w:r w:rsidR="00C70872">
        <w:rPr>
          <w:rFonts w:eastAsia="Arial Unicode MS"/>
          <w:bCs/>
          <w:sz w:val="24"/>
          <w:szCs w:val="24"/>
        </w:rPr>
        <w:t>t</w:t>
      </w:r>
      <w:r w:rsidRPr="00C70872">
        <w:rPr>
          <w:rFonts w:eastAsia="Arial Unicode MS"/>
          <w:bCs/>
          <w:sz w:val="24"/>
          <w:szCs w:val="24"/>
          <w:vertAlign w:val="subscript"/>
        </w:rPr>
        <w:t>table</w:t>
      </w:r>
      <w:proofErr w:type="spellEnd"/>
      <w:r w:rsidRPr="00B5003E">
        <w:rPr>
          <w:rFonts w:eastAsia="Arial Unicode MS"/>
          <w:bCs/>
          <w:sz w:val="24"/>
          <w:szCs w:val="24"/>
        </w:rPr>
        <w:t xml:space="preserve"> </w:t>
      </w:r>
      <w:proofErr w:type="gramStart"/>
      <w:r w:rsidRPr="00B5003E">
        <w:rPr>
          <w:rFonts w:eastAsia="Arial Unicode MS"/>
          <w:bCs/>
          <w:sz w:val="24"/>
          <w:szCs w:val="24"/>
        </w:rPr>
        <w:t>( 5,568</w:t>
      </w:r>
      <w:proofErr w:type="gramEnd"/>
      <w:r w:rsidRPr="00B5003E">
        <w:rPr>
          <w:rFonts w:eastAsia="Arial Unicode MS"/>
          <w:bCs/>
          <w:sz w:val="24"/>
          <w:szCs w:val="24"/>
        </w:rPr>
        <w:t>&gt; 2,034) and a significant value of</w:t>
      </w:r>
      <w:r w:rsidR="00C70872">
        <w:rPr>
          <w:sz w:val="24"/>
          <w:szCs w:val="24"/>
        </w:rPr>
        <w:t xml:space="preserve"> </w:t>
      </w:r>
      <w:r w:rsidR="00C70872">
        <w:rPr>
          <w:rFonts w:eastAsia="Arial Unicode MS"/>
          <w:bCs/>
          <w:sz w:val="24"/>
          <w:szCs w:val="24"/>
        </w:rPr>
        <w:t>0.000 (less than 0.05) means H</w:t>
      </w:r>
      <w:r w:rsidRPr="00C70872">
        <w:rPr>
          <w:rFonts w:eastAsia="Arial Unicode MS"/>
          <w:bCs/>
          <w:sz w:val="24"/>
          <w:szCs w:val="24"/>
          <w:vertAlign w:val="subscript"/>
        </w:rPr>
        <w:t>o</w:t>
      </w:r>
      <w:r w:rsidR="00C70872">
        <w:rPr>
          <w:rFonts w:eastAsia="Arial Unicode MS"/>
          <w:bCs/>
          <w:sz w:val="24"/>
          <w:szCs w:val="24"/>
        </w:rPr>
        <w:t xml:space="preserve"> accepted and H</w:t>
      </w:r>
      <w:r w:rsidRPr="00C70872">
        <w:rPr>
          <w:rFonts w:eastAsia="Arial Unicode MS"/>
          <w:bCs/>
          <w:sz w:val="24"/>
          <w:szCs w:val="24"/>
          <w:vertAlign w:val="subscript"/>
        </w:rPr>
        <w:t>a</w:t>
      </w:r>
      <w:r w:rsidRPr="00B5003E">
        <w:rPr>
          <w:rFonts w:eastAsia="Arial Unicode MS"/>
          <w:bCs/>
          <w:sz w:val="24"/>
          <w:szCs w:val="24"/>
        </w:rPr>
        <w:t xml:space="preserve"> rejected. Based on these results, it shows that partially has a significant effect </w:t>
      </w:r>
      <w:r w:rsidRPr="00B5003E">
        <w:rPr>
          <w:rFonts w:eastAsia="Arial Unicode MS"/>
          <w:bCs/>
          <w:i/>
          <w:iCs/>
          <w:sz w:val="24"/>
          <w:szCs w:val="24"/>
        </w:rPr>
        <w:t>Total Asset Turnover</w:t>
      </w:r>
      <w:r w:rsidR="00C70872">
        <w:rPr>
          <w:sz w:val="24"/>
          <w:szCs w:val="24"/>
        </w:rPr>
        <w:t xml:space="preserve"> </w:t>
      </w:r>
      <w:r w:rsidR="00C70872">
        <w:rPr>
          <w:rFonts w:eastAsia="Arial Unicode MS"/>
          <w:bCs/>
          <w:sz w:val="24"/>
          <w:szCs w:val="24"/>
        </w:rPr>
        <w:t>(TAT</w:t>
      </w:r>
      <w:r w:rsidRPr="00B5003E">
        <w:rPr>
          <w:rFonts w:eastAsia="Arial Unicode MS"/>
          <w:bCs/>
          <w:sz w:val="24"/>
          <w:szCs w:val="24"/>
        </w:rPr>
        <w:t xml:space="preserve">O) against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w:t>
      </w:r>
      <w:r w:rsidRPr="00C70872">
        <w:rPr>
          <w:rFonts w:eastAsia="Arial Unicode MS"/>
          <w:bCs/>
          <w:iCs/>
          <w:sz w:val="24"/>
          <w:szCs w:val="24"/>
        </w:rPr>
        <w:t>(</w:t>
      </w:r>
      <w:r w:rsidRPr="00B5003E">
        <w:rPr>
          <w:rFonts w:eastAsia="Arial Unicode MS"/>
          <w:bCs/>
          <w:sz w:val="24"/>
          <w:szCs w:val="24"/>
        </w:rPr>
        <w:t>ROE) in transportation companies listed on the Indonesia Stock Exchange for the period 2015-2019.</w:t>
      </w:r>
    </w:p>
    <w:p w:rsidR="00000088" w:rsidRPr="00B5003E" w:rsidRDefault="00000088" w:rsidP="00E83B7E">
      <w:pPr>
        <w:jc w:val="both"/>
        <w:rPr>
          <w:sz w:val="24"/>
          <w:szCs w:val="24"/>
        </w:rPr>
      </w:pPr>
    </w:p>
    <w:p w:rsidR="00000088" w:rsidRPr="00B5003E" w:rsidRDefault="00000088" w:rsidP="00C70872">
      <w:pPr>
        <w:ind w:right="280" w:firstLine="720"/>
        <w:jc w:val="both"/>
        <w:rPr>
          <w:sz w:val="24"/>
          <w:szCs w:val="24"/>
        </w:rPr>
      </w:pPr>
      <w:r w:rsidRPr="00B5003E">
        <w:rPr>
          <w:rFonts w:eastAsia="Arial Unicode MS"/>
          <w:bCs/>
          <w:i/>
          <w:iCs/>
          <w:sz w:val="24"/>
          <w:szCs w:val="24"/>
        </w:rPr>
        <w:t xml:space="preserve">Total Asset Turnover </w:t>
      </w:r>
      <w:r w:rsidRPr="00B5003E">
        <w:rPr>
          <w:rFonts w:eastAsia="Arial Unicode MS"/>
          <w:bCs/>
          <w:sz w:val="24"/>
          <w:szCs w:val="24"/>
        </w:rPr>
        <w:t xml:space="preserve">shows the level of efficiency in the use of overall company assets in </w:t>
      </w:r>
      <w:proofErr w:type="spellStart"/>
      <w:r w:rsidRPr="00B5003E">
        <w:rPr>
          <w:rFonts w:eastAsia="Arial Unicode MS"/>
          <w:bCs/>
          <w:sz w:val="24"/>
          <w:szCs w:val="24"/>
        </w:rPr>
        <w:t>companyactivities</w:t>
      </w:r>
      <w:proofErr w:type="spellEnd"/>
      <w:r w:rsidRPr="00B5003E">
        <w:rPr>
          <w:rFonts w:eastAsia="Arial Unicode MS"/>
          <w:bCs/>
          <w:sz w:val="24"/>
          <w:szCs w:val="24"/>
        </w:rPr>
        <w:t xml:space="preserve">. </w:t>
      </w:r>
      <w:r w:rsidRPr="00B5003E">
        <w:rPr>
          <w:rFonts w:eastAsia="Arial Unicode MS"/>
          <w:bCs/>
          <w:i/>
          <w:iCs/>
          <w:sz w:val="24"/>
          <w:szCs w:val="24"/>
        </w:rPr>
        <w:t>Total Asset Turnover is important</w:t>
      </w:r>
      <w:r w:rsidRPr="00B5003E">
        <w:rPr>
          <w:rFonts w:eastAsia="Arial Unicode MS"/>
          <w:bCs/>
          <w:sz w:val="24"/>
          <w:szCs w:val="24"/>
        </w:rPr>
        <w:t xml:space="preserve"> for creditors and company owners, but it will be even more important for company management, because this will show the efficiency of the use of all activities within the company. The higher the </w:t>
      </w:r>
      <w:proofErr w:type="gramStart"/>
      <w:r w:rsidRPr="00B5003E">
        <w:rPr>
          <w:rFonts w:eastAsia="Arial Unicode MS"/>
          <w:bCs/>
          <w:sz w:val="24"/>
          <w:szCs w:val="24"/>
        </w:rPr>
        <w:t>level of sales in the future so that changes in profits are</w:t>
      </w:r>
      <w:proofErr w:type="gramEnd"/>
      <w:r w:rsidRPr="00B5003E">
        <w:rPr>
          <w:rFonts w:eastAsia="Arial Unicode MS"/>
          <w:bCs/>
          <w:sz w:val="24"/>
          <w:szCs w:val="24"/>
        </w:rPr>
        <w:t xml:space="preserve"> higher. </w:t>
      </w:r>
      <w:proofErr w:type="gramStart"/>
      <w:r w:rsidRPr="00B5003E">
        <w:rPr>
          <w:rFonts w:eastAsia="Arial Unicode MS"/>
          <w:bCs/>
          <w:sz w:val="24"/>
          <w:szCs w:val="24"/>
        </w:rPr>
        <w:t>The higher the sales, the higher the sales.</w:t>
      </w:r>
      <w:proofErr w:type="gramEnd"/>
      <w:r w:rsidRPr="00B5003E">
        <w:rPr>
          <w:rFonts w:eastAsia="Arial Unicode MS"/>
          <w:bCs/>
          <w:sz w:val="24"/>
          <w:szCs w:val="24"/>
        </w:rPr>
        <w:t xml:space="preserve"> </w:t>
      </w:r>
      <w:proofErr w:type="gramStart"/>
      <w:r w:rsidRPr="00B5003E">
        <w:rPr>
          <w:rFonts w:eastAsia="Arial Unicode MS"/>
          <w:bCs/>
          <w:sz w:val="24"/>
          <w:szCs w:val="24"/>
        </w:rPr>
        <w:t>also</w:t>
      </w:r>
      <w:proofErr w:type="gramEnd"/>
      <w:r w:rsidRPr="00B5003E">
        <w:rPr>
          <w:rFonts w:eastAsia="Arial Unicode MS"/>
          <w:bCs/>
          <w:sz w:val="24"/>
          <w:szCs w:val="24"/>
        </w:rPr>
        <w:t xml:space="preserve"> the level of efficiency and effectiveness of the company in carrying out its operations. The higher </w:t>
      </w:r>
      <w:r w:rsidRPr="00B5003E">
        <w:rPr>
          <w:rFonts w:eastAsia="Arial Unicode MS"/>
          <w:bCs/>
          <w:i/>
          <w:iCs/>
          <w:sz w:val="24"/>
          <w:szCs w:val="24"/>
        </w:rPr>
        <w:t xml:space="preserve">total asset </w:t>
      </w:r>
      <w:proofErr w:type="spellStart"/>
      <w:r w:rsidRPr="00B5003E">
        <w:rPr>
          <w:rFonts w:eastAsia="Arial Unicode MS"/>
          <w:bCs/>
          <w:i/>
          <w:iCs/>
          <w:sz w:val="24"/>
          <w:szCs w:val="24"/>
        </w:rPr>
        <w:t>turnover</w:t>
      </w:r>
      <w:r w:rsidRPr="00B5003E">
        <w:rPr>
          <w:rFonts w:eastAsia="Arial Unicode MS"/>
          <w:bCs/>
          <w:sz w:val="24"/>
          <w:szCs w:val="24"/>
        </w:rPr>
        <w:t>the</w:t>
      </w:r>
      <w:proofErr w:type="spellEnd"/>
      <w:r w:rsidRPr="00B5003E">
        <w:rPr>
          <w:rFonts w:eastAsia="Arial Unicode MS"/>
          <w:bCs/>
          <w:sz w:val="24"/>
          <w:szCs w:val="24"/>
        </w:rPr>
        <w:t xml:space="preserve"> higher the change in </w:t>
      </w:r>
      <w:proofErr w:type="spellStart"/>
      <w:r w:rsidRPr="00B5003E">
        <w:rPr>
          <w:rFonts w:eastAsia="Arial Unicode MS"/>
          <w:bCs/>
          <w:sz w:val="24"/>
          <w:szCs w:val="24"/>
        </w:rPr>
        <w:t>profitThe</w:t>
      </w:r>
      <w:proofErr w:type="spellEnd"/>
      <w:r w:rsidRPr="00B5003E">
        <w:rPr>
          <w:rFonts w:eastAsia="Arial Unicode MS"/>
          <w:bCs/>
          <w:sz w:val="24"/>
          <w:szCs w:val="24"/>
        </w:rPr>
        <w:t xml:space="preserve"> results of this study are in line with the results of research conducted by (</w:t>
      </w:r>
      <w:proofErr w:type="spellStart"/>
      <w:r w:rsidRPr="00B5003E">
        <w:rPr>
          <w:rFonts w:eastAsia="Arial Unicode MS"/>
          <w:bCs/>
          <w:sz w:val="24"/>
          <w:szCs w:val="24"/>
        </w:rPr>
        <w:t>Jufrizen</w:t>
      </w:r>
      <w:proofErr w:type="spellEnd"/>
      <w:r w:rsidRPr="00B5003E">
        <w:rPr>
          <w:rFonts w:eastAsia="Arial Unicode MS"/>
          <w:bCs/>
          <w:sz w:val="24"/>
          <w:szCs w:val="24"/>
        </w:rPr>
        <w:t>&amp; Sari2019) and (</w:t>
      </w:r>
      <w:proofErr w:type="spellStart"/>
      <w:r w:rsidRPr="00B5003E">
        <w:rPr>
          <w:rFonts w:eastAsia="Arial Unicode MS"/>
          <w:bCs/>
          <w:sz w:val="24"/>
          <w:szCs w:val="24"/>
        </w:rPr>
        <w:t>Jufrizen</w:t>
      </w:r>
      <w:proofErr w:type="spellEnd"/>
      <w:r w:rsidRPr="00B5003E">
        <w:rPr>
          <w:rFonts w:eastAsia="Arial Unicode MS"/>
          <w:bCs/>
          <w:sz w:val="24"/>
          <w:szCs w:val="24"/>
        </w:rPr>
        <w:t xml:space="preserve">, 2015) which states that </w:t>
      </w:r>
      <w:r w:rsidRPr="00B5003E">
        <w:rPr>
          <w:rFonts w:eastAsia="Arial Unicode MS"/>
          <w:bCs/>
          <w:i/>
          <w:iCs/>
          <w:sz w:val="24"/>
          <w:szCs w:val="24"/>
        </w:rPr>
        <w:t>Total Asset Turnover</w:t>
      </w:r>
      <w:r w:rsidRPr="00B5003E">
        <w:rPr>
          <w:rFonts w:eastAsia="Arial Unicode MS"/>
          <w:bCs/>
          <w:sz w:val="24"/>
          <w:szCs w:val="24"/>
        </w:rPr>
        <w:t xml:space="preserve"> significant effect on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w:t>
      </w:r>
      <w:r w:rsidRPr="00B5003E">
        <w:rPr>
          <w:rFonts w:eastAsia="Arial Unicode MS"/>
          <w:bCs/>
          <w:sz w:val="24"/>
          <w:szCs w:val="24"/>
        </w:rPr>
        <w:t xml:space="preserve"> But this study is not in line with the research results (Jessica et</w:t>
      </w:r>
      <w:bookmarkStart w:id="12" w:name="page15"/>
      <w:bookmarkEnd w:id="12"/>
      <w:r w:rsidR="00C70872">
        <w:rPr>
          <w:sz w:val="24"/>
          <w:szCs w:val="24"/>
        </w:rPr>
        <w:t xml:space="preserve"> </w:t>
      </w:r>
      <w:r w:rsidRPr="00B5003E">
        <w:rPr>
          <w:rFonts w:eastAsia="Arial Unicode MS"/>
          <w:bCs/>
          <w:sz w:val="24"/>
          <w:szCs w:val="24"/>
        </w:rPr>
        <w:t xml:space="preserve">al., 2019) which states that </w:t>
      </w:r>
      <w:r w:rsidRPr="00B5003E">
        <w:rPr>
          <w:rFonts w:eastAsia="Arial Unicode MS"/>
          <w:bCs/>
          <w:i/>
          <w:iCs/>
          <w:sz w:val="24"/>
          <w:szCs w:val="24"/>
        </w:rPr>
        <w:t>Total Asset Turnover</w:t>
      </w:r>
      <w:r w:rsidR="00C70872">
        <w:rPr>
          <w:rFonts w:eastAsia="Arial Unicode MS"/>
          <w:bCs/>
          <w:sz w:val="24"/>
          <w:szCs w:val="24"/>
        </w:rPr>
        <w:t xml:space="preserve"> has no significant effect on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w:t>
      </w:r>
    </w:p>
    <w:p w:rsidR="00000088" w:rsidRPr="00B5003E" w:rsidRDefault="00000088" w:rsidP="00E83B7E">
      <w:pPr>
        <w:jc w:val="both"/>
        <w:rPr>
          <w:sz w:val="24"/>
          <w:szCs w:val="24"/>
        </w:rPr>
      </w:pPr>
    </w:p>
    <w:p w:rsidR="00000088" w:rsidRPr="00B5003E" w:rsidRDefault="00000088" w:rsidP="00E83B7E">
      <w:pPr>
        <w:ind w:right="660" w:firstLine="720"/>
        <w:jc w:val="both"/>
        <w:rPr>
          <w:sz w:val="24"/>
          <w:szCs w:val="24"/>
        </w:rPr>
      </w:pPr>
      <w:r w:rsidRPr="00B5003E">
        <w:rPr>
          <w:rFonts w:eastAsia="Arial Unicode MS"/>
          <w:bCs/>
          <w:sz w:val="24"/>
          <w:szCs w:val="24"/>
        </w:rPr>
        <w:t xml:space="preserve">Therefore the results of the research conducted by the research as well as the theory as well as the income presented above are about influence </w:t>
      </w:r>
      <w:r w:rsidRPr="00B5003E">
        <w:rPr>
          <w:rFonts w:eastAsia="Arial Unicode MS"/>
          <w:bCs/>
          <w:i/>
          <w:iCs/>
          <w:sz w:val="24"/>
          <w:szCs w:val="24"/>
        </w:rPr>
        <w:t>Total Asset Turnover</w:t>
      </w:r>
      <w:r w:rsidRPr="00B5003E">
        <w:rPr>
          <w:rFonts w:eastAsia="Arial Unicode MS"/>
          <w:bCs/>
          <w:sz w:val="24"/>
          <w:szCs w:val="24"/>
        </w:rPr>
        <w:t xml:space="preserve"> to </w:t>
      </w:r>
      <w:r w:rsidRPr="00B5003E">
        <w:rPr>
          <w:rFonts w:eastAsia="Arial Unicode MS"/>
          <w:bCs/>
          <w:i/>
          <w:iCs/>
          <w:sz w:val="24"/>
          <w:szCs w:val="24"/>
        </w:rPr>
        <w:t xml:space="preserve">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So the writer can conclude that there </w:t>
      </w:r>
      <w:proofErr w:type="spellStart"/>
      <w:r w:rsidRPr="00B5003E">
        <w:rPr>
          <w:rFonts w:eastAsia="Arial Unicode MS"/>
          <w:bCs/>
          <w:i/>
          <w:iCs/>
          <w:sz w:val="24"/>
          <w:szCs w:val="24"/>
        </w:rPr>
        <w:t>isan</w:t>
      </w:r>
      <w:proofErr w:type="spellEnd"/>
      <w:r w:rsidRPr="00B5003E">
        <w:rPr>
          <w:rFonts w:eastAsia="Arial Unicode MS"/>
          <w:bCs/>
          <w:i/>
          <w:iCs/>
          <w:sz w:val="24"/>
          <w:szCs w:val="24"/>
        </w:rPr>
        <w:t xml:space="preserve"> agreement between the results of the research with the theory. So the writer can conclude that the Total Asset Turnover </w:t>
      </w:r>
      <w:r w:rsidRPr="00B5003E">
        <w:rPr>
          <w:rFonts w:eastAsia="Arial Unicode MS"/>
          <w:bCs/>
          <w:sz w:val="24"/>
          <w:szCs w:val="24"/>
        </w:rPr>
        <w:t>to</w:t>
      </w:r>
      <w:r w:rsidRPr="00B5003E">
        <w:rPr>
          <w:rFonts w:eastAsia="Arial Unicode MS"/>
          <w:bCs/>
          <w:i/>
          <w:iCs/>
          <w:sz w:val="24"/>
          <w:szCs w:val="24"/>
        </w:rPr>
        <w:t xml:space="preserve"> Return </w:t>
      </w:r>
      <w:proofErr w:type="gramStart"/>
      <w:r w:rsidRPr="00B5003E">
        <w:rPr>
          <w:rFonts w:eastAsia="Arial Unicode MS"/>
          <w:bCs/>
          <w:i/>
          <w:iCs/>
          <w:sz w:val="24"/>
          <w:szCs w:val="24"/>
        </w:rPr>
        <w:t>On</w:t>
      </w:r>
      <w:proofErr w:type="gramEnd"/>
      <w:r w:rsidRPr="00B5003E">
        <w:rPr>
          <w:rFonts w:eastAsia="Arial Unicode MS"/>
          <w:bCs/>
          <w:i/>
          <w:iCs/>
          <w:sz w:val="24"/>
          <w:szCs w:val="24"/>
        </w:rPr>
        <w:t xml:space="preserve"> Equity is a significant effect on </w:t>
      </w:r>
      <w:r w:rsidRPr="00B5003E">
        <w:rPr>
          <w:rFonts w:eastAsia="Arial Unicode MS"/>
          <w:bCs/>
          <w:sz w:val="24"/>
          <w:szCs w:val="24"/>
        </w:rPr>
        <w:t xml:space="preserve">Transportation sector listed on the Indonesia Stock Exchange </w:t>
      </w:r>
      <w:proofErr w:type="spellStart"/>
      <w:r w:rsidRPr="00B5003E">
        <w:rPr>
          <w:rFonts w:eastAsia="Arial Unicode MS"/>
          <w:bCs/>
          <w:sz w:val="24"/>
          <w:szCs w:val="24"/>
        </w:rPr>
        <w:t>forthe</w:t>
      </w:r>
      <w:proofErr w:type="spellEnd"/>
      <w:r w:rsidRPr="00B5003E">
        <w:rPr>
          <w:rFonts w:eastAsia="Arial Unicode MS"/>
          <w:bCs/>
          <w:sz w:val="24"/>
          <w:szCs w:val="24"/>
        </w:rPr>
        <w:t xml:space="preserve"> period 2015-2019.</w:t>
      </w:r>
    </w:p>
    <w:p w:rsidR="00000088" w:rsidRPr="00B5003E" w:rsidRDefault="00000088" w:rsidP="00E83B7E">
      <w:pPr>
        <w:jc w:val="both"/>
        <w:rPr>
          <w:sz w:val="24"/>
          <w:szCs w:val="24"/>
        </w:rPr>
      </w:pPr>
    </w:p>
    <w:p w:rsidR="00000088" w:rsidRPr="00B5003E" w:rsidRDefault="00000088" w:rsidP="00E83B7E">
      <w:pPr>
        <w:ind w:right="740"/>
        <w:jc w:val="both"/>
        <w:rPr>
          <w:b/>
          <w:sz w:val="24"/>
          <w:szCs w:val="24"/>
        </w:rPr>
      </w:pPr>
      <w:r w:rsidRPr="00B5003E">
        <w:rPr>
          <w:rFonts w:eastAsia="Arial Unicode MS"/>
          <w:b/>
          <w:bCs/>
          <w:sz w:val="24"/>
          <w:szCs w:val="24"/>
        </w:rPr>
        <w:t xml:space="preserve">Influence </w:t>
      </w:r>
      <w:r w:rsidRPr="00B5003E">
        <w:rPr>
          <w:rFonts w:eastAsia="Arial Unicode MS"/>
          <w:b/>
          <w:bCs/>
          <w:i/>
          <w:iCs/>
          <w:sz w:val="24"/>
          <w:szCs w:val="24"/>
        </w:rPr>
        <w:t xml:space="preserve">Current Ratio </w:t>
      </w:r>
      <w:r w:rsidRPr="003E785C">
        <w:rPr>
          <w:rFonts w:eastAsia="Arial Unicode MS"/>
          <w:b/>
          <w:bCs/>
          <w:iCs/>
          <w:sz w:val="24"/>
          <w:szCs w:val="24"/>
        </w:rPr>
        <w:t>(</w:t>
      </w:r>
      <w:r w:rsidRPr="00B5003E">
        <w:rPr>
          <w:rFonts w:eastAsia="Arial Unicode MS"/>
          <w:b/>
          <w:bCs/>
          <w:sz w:val="24"/>
          <w:szCs w:val="24"/>
        </w:rPr>
        <w:t xml:space="preserve">CR) </w:t>
      </w:r>
      <w:r w:rsidRPr="00B5003E">
        <w:rPr>
          <w:rFonts w:eastAsia="Arial Unicode MS"/>
          <w:b/>
          <w:bCs/>
          <w:i/>
          <w:iCs/>
          <w:sz w:val="24"/>
          <w:szCs w:val="24"/>
        </w:rPr>
        <w:t xml:space="preserve">Debt To Equity Ratio </w:t>
      </w:r>
      <w:r w:rsidRPr="003E785C">
        <w:rPr>
          <w:rFonts w:eastAsia="Arial Unicode MS"/>
          <w:b/>
          <w:bCs/>
          <w:iCs/>
          <w:sz w:val="24"/>
          <w:szCs w:val="24"/>
        </w:rPr>
        <w:t>(</w:t>
      </w:r>
      <w:r w:rsidRPr="00B5003E">
        <w:rPr>
          <w:rFonts w:eastAsia="Arial Unicode MS"/>
          <w:b/>
          <w:bCs/>
          <w:sz w:val="24"/>
          <w:szCs w:val="24"/>
        </w:rPr>
        <w:t xml:space="preserve">DER) and </w:t>
      </w:r>
      <w:r w:rsidRPr="00B5003E">
        <w:rPr>
          <w:rFonts w:eastAsia="Arial Unicode MS"/>
          <w:b/>
          <w:bCs/>
          <w:i/>
          <w:iCs/>
          <w:sz w:val="24"/>
          <w:szCs w:val="24"/>
        </w:rPr>
        <w:t xml:space="preserve">Total Assets Turnover </w:t>
      </w:r>
      <w:proofErr w:type="gramStart"/>
      <w:r w:rsidRPr="003E785C">
        <w:rPr>
          <w:rFonts w:eastAsia="Arial Unicode MS"/>
          <w:b/>
          <w:bCs/>
          <w:iCs/>
          <w:sz w:val="24"/>
          <w:szCs w:val="24"/>
        </w:rPr>
        <w:t>(</w:t>
      </w:r>
      <w:r w:rsidR="003E785C" w:rsidRPr="003E785C">
        <w:rPr>
          <w:rFonts w:eastAsia="Arial Unicode MS"/>
          <w:b/>
          <w:bCs/>
          <w:sz w:val="24"/>
          <w:szCs w:val="24"/>
        </w:rPr>
        <w:t xml:space="preserve"> </w:t>
      </w:r>
      <w:r w:rsidR="003E785C">
        <w:rPr>
          <w:rFonts w:eastAsia="Arial Unicode MS"/>
          <w:b/>
          <w:bCs/>
          <w:sz w:val="24"/>
          <w:szCs w:val="24"/>
        </w:rPr>
        <w:t>TATO</w:t>
      </w:r>
      <w:proofErr w:type="gramEnd"/>
      <w:r w:rsidRPr="00B5003E">
        <w:rPr>
          <w:rFonts w:eastAsia="Arial Unicode MS"/>
          <w:b/>
          <w:bCs/>
          <w:sz w:val="24"/>
          <w:szCs w:val="24"/>
        </w:rPr>
        <w:t xml:space="preserve">) Against </w:t>
      </w:r>
      <w:r w:rsidRPr="00B5003E">
        <w:rPr>
          <w:rFonts w:eastAsia="Arial Unicode MS"/>
          <w:b/>
          <w:bCs/>
          <w:i/>
          <w:iCs/>
          <w:sz w:val="24"/>
          <w:szCs w:val="24"/>
        </w:rPr>
        <w:t xml:space="preserve">Return </w:t>
      </w:r>
      <w:proofErr w:type="spellStart"/>
      <w:r w:rsidRPr="00B5003E">
        <w:rPr>
          <w:rFonts w:eastAsia="Arial Unicode MS"/>
          <w:b/>
          <w:bCs/>
          <w:i/>
          <w:iCs/>
          <w:sz w:val="24"/>
          <w:szCs w:val="24"/>
        </w:rPr>
        <w:t>OnEquity</w:t>
      </w:r>
      <w:proofErr w:type="spellEnd"/>
      <w:r w:rsidRPr="00B5003E">
        <w:rPr>
          <w:rFonts w:eastAsia="Arial Unicode MS"/>
          <w:b/>
          <w:bCs/>
          <w:i/>
          <w:iCs/>
          <w:sz w:val="24"/>
          <w:szCs w:val="24"/>
        </w:rPr>
        <w:t xml:space="preserve"> </w:t>
      </w:r>
      <w:r w:rsidRPr="003E785C">
        <w:rPr>
          <w:rFonts w:eastAsia="Arial Unicode MS"/>
          <w:b/>
          <w:bCs/>
          <w:iCs/>
          <w:sz w:val="24"/>
          <w:szCs w:val="24"/>
        </w:rPr>
        <w:t>(</w:t>
      </w:r>
      <w:r w:rsidRPr="00B5003E">
        <w:rPr>
          <w:rFonts w:eastAsia="Arial Unicode MS"/>
          <w:b/>
          <w:bCs/>
          <w:sz w:val="24"/>
          <w:szCs w:val="24"/>
        </w:rPr>
        <w:t>ROE)</w:t>
      </w:r>
    </w:p>
    <w:p w:rsidR="00000088" w:rsidRPr="00B5003E" w:rsidRDefault="00000088" w:rsidP="00E83B7E">
      <w:pPr>
        <w:jc w:val="both"/>
        <w:rPr>
          <w:sz w:val="24"/>
          <w:szCs w:val="24"/>
        </w:rPr>
      </w:pPr>
    </w:p>
    <w:p w:rsidR="00000088" w:rsidRDefault="00000088" w:rsidP="003E785C">
      <w:pPr>
        <w:ind w:right="640" w:firstLine="720"/>
        <w:jc w:val="both"/>
        <w:rPr>
          <w:rFonts w:eastAsia="Arial Unicode MS"/>
          <w:bCs/>
          <w:sz w:val="24"/>
          <w:szCs w:val="24"/>
        </w:rPr>
      </w:pPr>
      <w:r w:rsidRPr="00B5003E">
        <w:rPr>
          <w:rFonts w:eastAsia="Arial Unicode MS"/>
          <w:bCs/>
          <w:sz w:val="24"/>
          <w:szCs w:val="24"/>
        </w:rPr>
        <w:t xml:space="preserve">Based on the F test which tests simultaneously whether the two independent variables are the dependent variable, namely </w:t>
      </w:r>
      <w:r w:rsidRPr="00B5003E">
        <w:rPr>
          <w:rFonts w:eastAsia="Arial Unicode MS"/>
          <w:bCs/>
          <w:i/>
          <w:iCs/>
          <w:sz w:val="24"/>
          <w:szCs w:val="24"/>
        </w:rPr>
        <w:t xml:space="preserve">Current Ratio </w:t>
      </w:r>
      <w:r w:rsidRPr="00E83B7E">
        <w:rPr>
          <w:rFonts w:eastAsia="Arial Unicode MS"/>
          <w:bCs/>
          <w:iCs/>
          <w:sz w:val="24"/>
          <w:szCs w:val="24"/>
        </w:rPr>
        <w:t>(</w:t>
      </w:r>
      <w:r w:rsidRPr="00B5003E">
        <w:rPr>
          <w:rFonts w:eastAsia="Arial Unicode MS"/>
          <w:bCs/>
          <w:sz w:val="24"/>
          <w:szCs w:val="24"/>
        </w:rPr>
        <w:t xml:space="preserve">CR), </w:t>
      </w:r>
      <w:r w:rsidRPr="00B5003E">
        <w:rPr>
          <w:rFonts w:eastAsia="Arial Unicode MS"/>
          <w:bCs/>
          <w:i/>
          <w:iCs/>
          <w:sz w:val="24"/>
          <w:szCs w:val="24"/>
        </w:rPr>
        <w:t>Total Asset Turnover</w:t>
      </w:r>
      <w:r w:rsidR="00E83B7E">
        <w:rPr>
          <w:rFonts w:eastAsia="Arial Unicode MS"/>
          <w:bCs/>
          <w:i/>
          <w:iCs/>
          <w:sz w:val="24"/>
          <w:szCs w:val="24"/>
        </w:rPr>
        <w:t xml:space="preserve">      </w:t>
      </w:r>
      <w:r w:rsidRPr="00B5003E">
        <w:rPr>
          <w:rFonts w:eastAsia="Arial Unicode MS"/>
          <w:bCs/>
          <w:i/>
          <w:iCs/>
          <w:sz w:val="24"/>
          <w:szCs w:val="24"/>
        </w:rPr>
        <w:t xml:space="preserve"> </w:t>
      </w:r>
      <w:r w:rsidRPr="00E83B7E">
        <w:rPr>
          <w:rFonts w:eastAsia="Arial Unicode MS"/>
          <w:bCs/>
          <w:iCs/>
          <w:sz w:val="24"/>
          <w:szCs w:val="24"/>
        </w:rPr>
        <w:t>(</w:t>
      </w:r>
      <w:r w:rsidR="00E83B7E">
        <w:rPr>
          <w:rFonts w:eastAsia="Arial Unicode MS"/>
          <w:bCs/>
          <w:sz w:val="24"/>
          <w:szCs w:val="24"/>
        </w:rPr>
        <w:t>TA</w:t>
      </w:r>
      <w:r w:rsidRPr="00B5003E">
        <w:rPr>
          <w:rFonts w:eastAsia="Arial Unicode MS"/>
          <w:bCs/>
          <w:sz w:val="24"/>
          <w:szCs w:val="24"/>
        </w:rPr>
        <w:t xml:space="preserve">TO) and </w:t>
      </w:r>
      <w:r w:rsidRPr="00B5003E">
        <w:rPr>
          <w:rFonts w:eastAsia="Arial Unicode MS"/>
          <w:bCs/>
          <w:i/>
          <w:iCs/>
          <w:sz w:val="24"/>
          <w:szCs w:val="24"/>
        </w:rPr>
        <w:t xml:space="preserve">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 </w:t>
      </w:r>
      <w:r w:rsidRPr="00E83B7E">
        <w:rPr>
          <w:rFonts w:eastAsia="Arial Unicode MS"/>
          <w:bCs/>
          <w:iCs/>
          <w:sz w:val="24"/>
          <w:szCs w:val="24"/>
        </w:rPr>
        <w:t>(</w:t>
      </w:r>
      <w:r w:rsidRPr="00B5003E">
        <w:rPr>
          <w:rFonts w:eastAsia="Arial Unicode MS"/>
          <w:bCs/>
          <w:sz w:val="24"/>
          <w:szCs w:val="24"/>
        </w:rPr>
        <w:t>DER) has a simultaneously significant influence relationship</w:t>
      </w:r>
      <w:r w:rsidR="00E83B7E">
        <w:rPr>
          <w:rFonts w:eastAsia="Arial Unicode MS"/>
          <w:bCs/>
          <w:sz w:val="24"/>
          <w:szCs w:val="24"/>
        </w:rPr>
        <w:t xml:space="preserve"> </w:t>
      </w:r>
      <w:r w:rsidRPr="00B5003E">
        <w:rPr>
          <w:rFonts w:eastAsia="Arial Unicode MS"/>
          <w:bCs/>
          <w:i/>
          <w:iCs/>
          <w:sz w:val="24"/>
          <w:szCs w:val="24"/>
        </w:rPr>
        <w:t xml:space="preserve">Return On Equity </w:t>
      </w:r>
      <w:r w:rsidR="00E83B7E">
        <w:rPr>
          <w:rFonts w:eastAsia="Arial Unicode MS"/>
          <w:bCs/>
          <w:iCs/>
          <w:sz w:val="24"/>
          <w:szCs w:val="24"/>
        </w:rPr>
        <w:t>(</w:t>
      </w:r>
      <w:r w:rsidRPr="00B5003E">
        <w:rPr>
          <w:rFonts w:eastAsia="Arial Unicode MS"/>
          <w:bCs/>
          <w:sz w:val="24"/>
          <w:szCs w:val="24"/>
        </w:rPr>
        <w:t xml:space="preserve">ROE), then we get </w:t>
      </w:r>
      <w:proofErr w:type="spellStart"/>
      <w:r w:rsidRPr="00B5003E">
        <w:rPr>
          <w:rFonts w:eastAsia="Arial Unicode MS"/>
          <w:bCs/>
          <w:sz w:val="24"/>
          <w:szCs w:val="24"/>
        </w:rPr>
        <w:t>fcountamounting</w:t>
      </w:r>
      <w:proofErr w:type="spellEnd"/>
      <w:r w:rsidRPr="00B5003E">
        <w:rPr>
          <w:rFonts w:eastAsia="Arial Unicode MS"/>
          <w:bCs/>
          <w:sz w:val="24"/>
          <w:szCs w:val="24"/>
        </w:rPr>
        <w:t xml:space="preserve"> to 10,431 with a significant 0,000. </w:t>
      </w:r>
      <w:proofErr w:type="gramStart"/>
      <w:r w:rsidRPr="00B5003E">
        <w:rPr>
          <w:rFonts w:eastAsia="Arial Unicode MS"/>
          <w:bCs/>
          <w:sz w:val="24"/>
          <w:szCs w:val="24"/>
        </w:rPr>
        <w:t xml:space="preserve">Medium </w:t>
      </w:r>
      <w:proofErr w:type="spellStart"/>
      <w:r w:rsidRPr="00B5003E">
        <w:rPr>
          <w:rFonts w:eastAsia="Arial Unicode MS"/>
          <w:bCs/>
          <w:sz w:val="24"/>
          <w:szCs w:val="24"/>
        </w:rPr>
        <w:t>f</w:t>
      </w:r>
      <w:r w:rsidRPr="00E83B7E">
        <w:rPr>
          <w:rFonts w:eastAsia="Arial Unicode MS"/>
          <w:bCs/>
          <w:sz w:val="24"/>
          <w:szCs w:val="24"/>
          <w:vertAlign w:val="subscript"/>
        </w:rPr>
        <w:t>table</w:t>
      </w:r>
      <w:proofErr w:type="spellEnd"/>
      <w:r w:rsidR="00E83B7E">
        <w:rPr>
          <w:rFonts w:eastAsia="Arial Unicode MS"/>
          <w:bCs/>
          <w:sz w:val="24"/>
          <w:szCs w:val="24"/>
        </w:rPr>
        <w:t xml:space="preserve"> 2.91significantly.</w:t>
      </w:r>
      <w:proofErr w:type="gramEnd"/>
      <w:r w:rsidR="00E83B7E">
        <w:rPr>
          <w:rFonts w:eastAsia="Arial Unicode MS"/>
          <w:bCs/>
          <w:sz w:val="24"/>
          <w:szCs w:val="24"/>
        </w:rPr>
        <w:t xml:space="preserve"> Thus H</w:t>
      </w:r>
      <w:r w:rsidRPr="00E83B7E">
        <w:rPr>
          <w:rFonts w:eastAsia="Arial Unicode MS"/>
          <w:bCs/>
          <w:sz w:val="24"/>
          <w:szCs w:val="24"/>
          <w:vertAlign w:val="subscript"/>
        </w:rPr>
        <w:t>o</w:t>
      </w:r>
      <w:r w:rsidRPr="00B5003E">
        <w:rPr>
          <w:rFonts w:eastAsia="Arial Unicode MS"/>
          <w:bCs/>
          <w:sz w:val="24"/>
          <w:szCs w:val="24"/>
        </w:rPr>
        <w:t xml:space="preserve"> rejected and H</w:t>
      </w:r>
      <w:r w:rsidRPr="00E83B7E">
        <w:rPr>
          <w:rFonts w:eastAsia="Arial Unicode MS"/>
          <w:bCs/>
          <w:sz w:val="24"/>
          <w:szCs w:val="24"/>
          <w:vertAlign w:val="subscript"/>
        </w:rPr>
        <w:t>a</w:t>
      </w:r>
      <w:r w:rsidRPr="00B5003E">
        <w:rPr>
          <w:rFonts w:eastAsia="Arial Unicode MS"/>
          <w:bCs/>
          <w:sz w:val="24"/>
          <w:szCs w:val="24"/>
        </w:rPr>
        <w:t xml:space="preserve"> be accepted. So it can be concluded that </w:t>
      </w:r>
      <w:r w:rsidRPr="00B5003E">
        <w:rPr>
          <w:rFonts w:eastAsia="Arial Unicode MS"/>
          <w:bCs/>
          <w:i/>
          <w:iCs/>
          <w:sz w:val="24"/>
          <w:szCs w:val="24"/>
        </w:rPr>
        <w:t xml:space="preserve">Current Ratio </w:t>
      </w:r>
      <w:r w:rsidRPr="003E785C">
        <w:rPr>
          <w:rFonts w:eastAsia="Arial Unicode MS"/>
          <w:bCs/>
          <w:iCs/>
          <w:sz w:val="24"/>
          <w:szCs w:val="24"/>
        </w:rPr>
        <w:t>(</w:t>
      </w:r>
      <w:r w:rsidRPr="00B5003E">
        <w:rPr>
          <w:rFonts w:eastAsia="Arial Unicode MS"/>
          <w:bCs/>
          <w:sz w:val="24"/>
          <w:szCs w:val="24"/>
        </w:rPr>
        <w:t xml:space="preserve">CR), </w:t>
      </w:r>
      <w:proofErr w:type="spellStart"/>
      <w:r w:rsidRPr="00B5003E">
        <w:rPr>
          <w:rFonts w:eastAsia="Arial Unicode MS"/>
          <w:bCs/>
          <w:i/>
          <w:iCs/>
          <w:sz w:val="24"/>
          <w:szCs w:val="24"/>
        </w:rPr>
        <w:t>DebtToEquity</w:t>
      </w:r>
      <w:proofErr w:type="spellEnd"/>
      <w:r w:rsidRPr="00B5003E">
        <w:rPr>
          <w:rFonts w:eastAsia="Arial Unicode MS"/>
          <w:bCs/>
          <w:i/>
          <w:iCs/>
          <w:sz w:val="24"/>
          <w:szCs w:val="24"/>
        </w:rPr>
        <w:t xml:space="preserve"> Ratio </w:t>
      </w:r>
      <w:r w:rsidRPr="003E785C">
        <w:rPr>
          <w:rFonts w:eastAsia="Arial Unicode MS"/>
          <w:bCs/>
          <w:iCs/>
          <w:sz w:val="24"/>
          <w:szCs w:val="24"/>
        </w:rPr>
        <w:t>(</w:t>
      </w:r>
      <w:r w:rsidRPr="00B5003E">
        <w:rPr>
          <w:rFonts w:eastAsia="Arial Unicode MS"/>
          <w:bCs/>
          <w:sz w:val="24"/>
          <w:szCs w:val="24"/>
        </w:rPr>
        <w:t>DER) and</w:t>
      </w:r>
      <w:r w:rsidRPr="00B5003E">
        <w:rPr>
          <w:rFonts w:eastAsia="Arial Unicode MS"/>
          <w:bCs/>
          <w:i/>
          <w:iCs/>
          <w:sz w:val="24"/>
          <w:szCs w:val="24"/>
        </w:rPr>
        <w:t xml:space="preserve"> Total Asset Turnover</w:t>
      </w:r>
      <w:r w:rsidR="003E785C">
        <w:rPr>
          <w:rFonts w:eastAsia="Arial Unicode MS"/>
          <w:bCs/>
          <w:i/>
          <w:iCs/>
          <w:sz w:val="24"/>
          <w:szCs w:val="24"/>
        </w:rPr>
        <w:t xml:space="preserve"> </w:t>
      </w:r>
      <w:r w:rsidRPr="00B5003E">
        <w:rPr>
          <w:rFonts w:eastAsia="Arial Unicode MS"/>
          <w:bCs/>
          <w:sz w:val="24"/>
          <w:szCs w:val="24"/>
        </w:rPr>
        <w:t xml:space="preserve">(TATO) and together there is a significant influence on </w:t>
      </w:r>
      <w:r w:rsidRPr="00B5003E">
        <w:rPr>
          <w:rFonts w:eastAsia="Arial Unicode MS"/>
          <w:bCs/>
          <w:i/>
          <w:iCs/>
          <w:sz w:val="24"/>
          <w:szCs w:val="24"/>
        </w:rPr>
        <w:t>Return On Equity</w:t>
      </w:r>
      <w:r w:rsidR="003E785C">
        <w:rPr>
          <w:rFonts w:eastAsia="Arial Unicode MS"/>
          <w:bCs/>
          <w:i/>
          <w:iCs/>
          <w:sz w:val="24"/>
          <w:szCs w:val="24"/>
        </w:rPr>
        <w:t xml:space="preserve"> </w:t>
      </w:r>
      <w:r w:rsidR="003E785C">
        <w:rPr>
          <w:rFonts w:eastAsia="Arial Unicode MS"/>
          <w:bCs/>
          <w:sz w:val="24"/>
          <w:szCs w:val="24"/>
        </w:rPr>
        <w:t xml:space="preserve">(ROE), because </w:t>
      </w:r>
      <w:proofErr w:type="spellStart"/>
      <w:r w:rsidR="003E785C">
        <w:rPr>
          <w:rFonts w:eastAsia="Arial Unicode MS"/>
          <w:bCs/>
          <w:sz w:val="24"/>
          <w:szCs w:val="24"/>
        </w:rPr>
        <w:t>f</w:t>
      </w:r>
      <w:r w:rsidRPr="003E785C">
        <w:rPr>
          <w:rFonts w:eastAsia="Arial Unicode MS"/>
          <w:bCs/>
          <w:sz w:val="24"/>
          <w:szCs w:val="24"/>
          <w:vertAlign w:val="subscript"/>
        </w:rPr>
        <w:t>count</w:t>
      </w:r>
      <w:proofErr w:type="spellEnd"/>
      <w:r w:rsidR="003E785C">
        <w:rPr>
          <w:rFonts w:eastAsia="Arial Unicode MS"/>
          <w:bCs/>
          <w:sz w:val="24"/>
          <w:szCs w:val="24"/>
        </w:rPr>
        <w:t xml:space="preserve">&gt; </w:t>
      </w:r>
      <w:proofErr w:type="spellStart"/>
      <w:r w:rsidR="003E785C">
        <w:rPr>
          <w:rFonts w:eastAsia="Arial Unicode MS"/>
          <w:bCs/>
          <w:sz w:val="24"/>
          <w:szCs w:val="24"/>
        </w:rPr>
        <w:t>f</w:t>
      </w:r>
      <w:r w:rsidRPr="00B5003E">
        <w:rPr>
          <w:rFonts w:eastAsia="Arial Unicode MS"/>
          <w:bCs/>
          <w:sz w:val="24"/>
          <w:szCs w:val="24"/>
        </w:rPr>
        <w:t>t</w:t>
      </w:r>
      <w:r w:rsidRPr="003E785C">
        <w:rPr>
          <w:rFonts w:eastAsia="Arial Unicode MS"/>
          <w:bCs/>
          <w:sz w:val="24"/>
          <w:szCs w:val="24"/>
          <w:vertAlign w:val="subscript"/>
        </w:rPr>
        <w:t>able</w:t>
      </w:r>
      <w:proofErr w:type="spellEnd"/>
      <w:r w:rsidRPr="00B5003E">
        <w:rPr>
          <w:rFonts w:eastAsia="Arial Unicode MS"/>
          <w:bCs/>
          <w:sz w:val="24"/>
          <w:szCs w:val="24"/>
        </w:rPr>
        <w:t xml:space="preserve"> ( 10,431&gt; 2.91) and the significance value is 0.000 &lt;0.05. Show that there is an influence of the independent variable (</w:t>
      </w:r>
      <w:r w:rsidRPr="00B5003E">
        <w:rPr>
          <w:rFonts w:eastAsia="Arial Unicode MS"/>
          <w:bCs/>
          <w:i/>
          <w:iCs/>
          <w:sz w:val="24"/>
          <w:szCs w:val="24"/>
        </w:rPr>
        <w:t>Current Ratio, Debt to Equity Ratio, Total Assets Turn Over)</w:t>
      </w:r>
      <w:r w:rsidR="003E785C">
        <w:rPr>
          <w:rFonts w:eastAsia="Arial Unicode MS"/>
          <w:bCs/>
          <w:i/>
          <w:iCs/>
          <w:sz w:val="24"/>
          <w:szCs w:val="24"/>
        </w:rPr>
        <w:t xml:space="preserve"> </w:t>
      </w:r>
      <w:r w:rsidRPr="00B5003E">
        <w:rPr>
          <w:rFonts w:eastAsia="Arial Unicode MS"/>
          <w:bCs/>
          <w:sz w:val="24"/>
          <w:szCs w:val="24"/>
        </w:rPr>
        <w:t xml:space="preserve">simultaneously is significant for Return </w:t>
      </w:r>
      <w:proofErr w:type="gramStart"/>
      <w:r w:rsidRPr="00B5003E">
        <w:rPr>
          <w:rFonts w:eastAsia="Arial Unicode MS"/>
          <w:bCs/>
          <w:sz w:val="24"/>
          <w:szCs w:val="24"/>
        </w:rPr>
        <w:t>On</w:t>
      </w:r>
      <w:proofErr w:type="gramEnd"/>
      <w:r w:rsidRPr="00B5003E">
        <w:rPr>
          <w:rFonts w:eastAsia="Arial Unicode MS"/>
          <w:bCs/>
          <w:sz w:val="24"/>
          <w:szCs w:val="24"/>
        </w:rPr>
        <w:t xml:space="preserve"> Assets. Then it can be concluded that simultaneously </w:t>
      </w:r>
      <w:r w:rsidRPr="00B5003E">
        <w:rPr>
          <w:rFonts w:eastAsia="Arial Unicode MS"/>
          <w:bCs/>
          <w:i/>
          <w:iCs/>
          <w:sz w:val="24"/>
          <w:szCs w:val="24"/>
        </w:rPr>
        <w:t>Current Ratio,</w:t>
      </w:r>
      <w:r w:rsidR="00C70872">
        <w:rPr>
          <w:rFonts w:eastAsia="Arial Unicode MS"/>
          <w:bCs/>
          <w:i/>
          <w:iCs/>
          <w:sz w:val="24"/>
          <w:szCs w:val="24"/>
        </w:rPr>
        <w:t xml:space="preserve"> </w:t>
      </w:r>
      <w:r w:rsidRPr="00B5003E">
        <w:rPr>
          <w:rFonts w:eastAsia="Arial Unicode MS"/>
          <w:bCs/>
          <w:i/>
          <w:iCs/>
          <w:sz w:val="24"/>
          <w:szCs w:val="24"/>
        </w:rPr>
        <w:t xml:space="preserve">Debt to Equity Ratio, Total Assets Turn Over </w:t>
      </w:r>
      <w:r w:rsidRPr="00B5003E">
        <w:rPr>
          <w:rFonts w:eastAsia="Arial Unicode MS"/>
          <w:bCs/>
          <w:sz w:val="24"/>
          <w:szCs w:val="24"/>
        </w:rPr>
        <w:t>effect on</w:t>
      </w:r>
      <w:r w:rsidR="003E785C">
        <w:rPr>
          <w:rFonts w:eastAsia="Arial Unicode MS"/>
          <w:bCs/>
          <w:sz w:val="24"/>
          <w:szCs w:val="24"/>
        </w:rPr>
        <w:t xml:space="preserve"> </w:t>
      </w:r>
      <w:proofErr w:type="spellStart"/>
      <w:r w:rsidRPr="00B5003E">
        <w:rPr>
          <w:rFonts w:eastAsia="Arial Unicode MS"/>
          <w:bCs/>
          <w:i/>
          <w:iCs/>
          <w:sz w:val="24"/>
          <w:szCs w:val="24"/>
        </w:rPr>
        <w:t>Retturn</w:t>
      </w:r>
      <w:proofErr w:type="spellEnd"/>
      <w:r w:rsidR="003E785C">
        <w:rPr>
          <w:rFonts w:eastAsia="Arial Unicode MS"/>
          <w:bCs/>
          <w:i/>
          <w:iCs/>
          <w:sz w:val="24"/>
          <w:szCs w:val="24"/>
        </w:rPr>
        <w:t xml:space="preserve"> </w:t>
      </w:r>
      <w:proofErr w:type="gramStart"/>
      <w:r w:rsidRPr="00B5003E">
        <w:rPr>
          <w:rFonts w:eastAsia="Arial Unicode MS"/>
          <w:bCs/>
          <w:i/>
          <w:iCs/>
          <w:sz w:val="24"/>
          <w:szCs w:val="24"/>
        </w:rPr>
        <w:t>On</w:t>
      </w:r>
      <w:proofErr w:type="gramEnd"/>
      <w:r w:rsidR="003E785C">
        <w:rPr>
          <w:rFonts w:eastAsia="Arial Unicode MS"/>
          <w:bCs/>
          <w:i/>
          <w:iCs/>
          <w:sz w:val="24"/>
          <w:szCs w:val="24"/>
        </w:rPr>
        <w:t xml:space="preserve"> </w:t>
      </w:r>
      <w:proofErr w:type="spellStart"/>
      <w:r w:rsidRPr="00B5003E">
        <w:rPr>
          <w:rFonts w:eastAsia="Arial Unicode MS"/>
          <w:bCs/>
          <w:i/>
          <w:iCs/>
          <w:sz w:val="24"/>
          <w:szCs w:val="24"/>
        </w:rPr>
        <w:t>Equtiy</w:t>
      </w:r>
      <w:proofErr w:type="spellEnd"/>
      <w:r w:rsidR="003E785C">
        <w:rPr>
          <w:rFonts w:eastAsia="Arial Unicode MS"/>
          <w:bCs/>
          <w:i/>
          <w:iCs/>
          <w:sz w:val="24"/>
          <w:szCs w:val="24"/>
        </w:rPr>
        <w:t xml:space="preserve"> </w:t>
      </w:r>
      <w:r w:rsidRPr="00B5003E">
        <w:rPr>
          <w:rFonts w:eastAsia="Arial Unicode MS"/>
          <w:bCs/>
          <w:sz w:val="24"/>
          <w:szCs w:val="24"/>
        </w:rPr>
        <w:t>in transportation sector companies listed on the Indonesia Stock Exchange for the 2015-2019 period</w:t>
      </w:r>
    </w:p>
    <w:p w:rsidR="003E785C" w:rsidRPr="00B5003E" w:rsidRDefault="003E785C" w:rsidP="003E785C">
      <w:pPr>
        <w:ind w:right="640" w:firstLine="720"/>
        <w:jc w:val="both"/>
        <w:rPr>
          <w:sz w:val="24"/>
          <w:szCs w:val="24"/>
        </w:rPr>
      </w:pPr>
    </w:p>
    <w:p w:rsidR="00000088" w:rsidRPr="00B5003E" w:rsidRDefault="00000088" w:rsidP="00000088">
      <w:pPr>
        <w:rPr>
          <w:sz w:val="24"/>
          <w:szCs w:val="24"/>
        </w:rPr>
      </w:pPr>
    </w:p>
    <w:p w:rsidR="003E785C" w:rsidRDefault="00000088" w:rsidP="003E785C">
      <w:pPr>
        <w:rPr>
          <w:b/>
          <w:sz w:val="24"/>
          <w:szCs w:val="24"/>
        </w:rPr>
      </w:pPr>
      <w:r w:rsidRPr="00B5003E">
        <w:rPr>
          <w:rFonts w:eastAsia="Arial Unicode MS"/>
          <w:b/>
          <w:bCs/>
          <w:sz w:val="24"/>
          <w:szCs w:val="24"/>
        </w:rPr>
        <w:t>CONCLUSION</w:t>
      </w:r>
    </w:p>
    <w:p w:rsidR="00000088" w:rsidRPr="00757E20" w:rsidRDefault="00000088" w:rsidP="00757E20">
      <w:pPr>
        <w:ind w:firstLine="720"/>
        <w:jc w:val="both"/>
        <w:rPr>
          <w:b/>
          <w:sz w:val="24"/>
          <w:szCs w:val="24"/>
        </w:rPr>
      </w:pPr>
      <w:r w:rsidRPr="00B5003E">
        <w:rPr>
          <w:rFonts w:eastAsia="Arial Unicode MS"/>
          <w:bCs/>
          <w:sz w:val="24"/>
          <w:szCs w:val="24"/>
        </w:rPr>
        <w:t>Based on the results of the research and discussion that has been stated previously, conclusions can</w:t>
      </w:r>
      <w:r w:rsidR="003E785C">
        <w:rPr>
          <w:b/>
          <w:sz w:val="24"/>
          <w:szCs w:val="24"/>
        </w:rPr>
        <w:t xml:space="preserve"> </w:t>
      </w:r>
      <w:r w:rsidRPr="00B5003E">
        <w:rPr>
          <w:rFonts w:eastAsia="Arial Unicode MS"/>
          <w:bCs/>
          <w:sz w:val="24"/>
          <w:szCs w:val="24"/>
        </w:rPr>
        <w:t xml:space="preserve">be drawn from research on influence </w:t>
      </w:r>
      <w:r w:rsidRPr="00B5003E">
        <w:rPr>
          <w:rFonts w:eastAsia="Arial Unicode MS"/>
          <w:bCs/>
          <w:i/>
          <w:iCs/>
          <w:sz w:val="24"/>
          <w:szCs w:val="24"/>
        </w:rPr>
        <w:t>Current Ratio (</w:t>
      </w:r>
      <w:r w:rsidRPr="00B5003E">
        <w:rPr>
          <w:rFonts w:eastAsia="Arial Unicode MS"/>
          <w:bCs/>
          <w:sz w:val="24"/>
          <w:szCs w:val="24"/>
        </w:rPr>
        <w:t xml:space="preserve"> CR), </w:t>
      </w:r>
      <w:r w:rsidRPr="00B5003E">
        <w:rPr>
          <w:rFonts w:eastAsia="Arial Unicode MS"/>
          <w:bCs/>
          <w:i/>
          <w:iCs/>
          <w:sz w:val="24"/>
          <w:szCs w:val="24"/>
        </w:rPr>
        <w:t xml:space="preserve">Debt To Equity Ratio </w:t>
      </w:r>
      <w:r w:rsidRPr="00B5003E">
        <w:rPr>
          <w:rFonts w:eastAsia="Arial Unicode MS"/>
          <w:bCs/>
          <w:i/>
          <w:iCs/>
          <w:sz w:val="24"/>
          <w:szCs w:val="24"/>
        </w:rPr>
        <w:lastRenderedPageBreak/>
        <w:t>(</w:t>
      </w:r>
      <w:r w:rsidRPr="00B5003E">
        <w:rPr>
          <w:rFonts w:eastAsia="Arial Unicode MS"/>
          <w:bCs/>
          <w:sz w:val="24"/>
          <w:szCs w:val="24"/>
        </w:rPr>
        <w:t xml:space="preserve"> DER) against </w:t>
      </w:r>
      <w:r w:rsidRPr="00B5003E">
        <w:rPr>
          <w:rFonts w:eastAsia="Arial Unicode MS"/>
          <w:bCs/>
          <w:i/>
          <w:iCs/>
          <w:sz w:val="24"/>
          <w:szCs w:val="24"/>
        </w:rPr>
        <w:t>Return On Equity (</w:t>
      </w:r>
      <w:r w:rsidRPr="00B5003E">
        <w:rPr>
          <w:rFonts w:eastAsia="Arial Unicode MS"/>
          <w:bCs/>
          <w:sz w:val="24"/>
          <w:szCs w:val="24"/>
        </w:rPr>
        <w:t xml:space="preserve"> ROE) in Transportation Sector Companies listed on the Indonesia Stock Exchange for the 2015-2019 period with a</w:t>
      </w:r>
      <w:r w:rsidR="003E785C">
        <w:rPr>
          <w:b/>
          <w:sz w:val="24"/>
          <w:szCs w:val="24"/>
        </w:rPr>
        <w:t xml:space="preserve"> </w:t>
      </w:r>
      <w:r w:rsidRPr="00B5003E">
        <w:rPr>
          <w:rFonts w:eastAsia="Arial Unicode MS"/>
          <w:bCs/>
          <w:sz w:val="24"/>
          <w:szCs w:val="24"/>
        </w:rPr>
        <w:t xml:space="preserve">sample of 7 companies are as follows: The results of the research partially prove that </w:t>
      </w:r>
      <w:r w:rsidRPr="00B5003E">
        <w:rPr>
          <w:rFonts w:eastAsia="Arial Unicode MS"/>
          <w:bCs/>
          <w:i/>
          <w:iCs/>
          <w:sz w:val="24"/>
          <w:szCs w:val="24"/>
        </w:rPr>
        <w:t>Current Ratio</w:t>
      </w:r>
      <w:r w:rsidRPr="00B5003E">
        <w:rPr>
          <w:rFonts w:eastAsia="Arial Unicode MS"/>
          <w:bCs/>
          <w:sz w:val="24"/>
          <w:szCs w:val="24"/>
        </w:rPr>
        <w:t xml:space="preserve"> effect but not significant to </w:t>
      </w:r>
      <w:r w:rsidRPr="00B5003E">
        <w:rPr>
          <w:rFonts w:eastAsia="Arial Unicode MS"/>
          <w:bCs/>
          <w:i/>
          <w:iCs/>
          <w:sz w:val="24"/>
          <w:szCs w:val="24"/>
        </w:rPr>
        <w:t>Return On Equity</w:t>
      </w:r>
      <w:r w:rsidRPr="00B5003E">
        <w:rPr>
          <w:rFonts w:eastAsia="Arial Unicode MS"/>
          <w:bCs/>
          <w:sz w:val="24"/>
          <w:szCs w:val="24"/>
        </w:rPr>
        <w:t xml:space="preserve"> in Transportation Sector Companies listed on the Indonesia Stock Exchange for the period 2015-2019. The research results partially prove that</w:t>
      </w:r>
      <w:r w:rsidR="00757E20">
        <w:rPr>
          <w:b/>
          <w:sz w:val="24"/>
          <w:szCs w:val="24"/>
        </w:rPr>
        <w:t xml:space="preserve"> </w:t>
      </w:r>
      <w:r w:rsidRPr="00B5003E">
        <w:rPr>
          <w:rFonts w:eastAsia="Arial Unicode MS"/>
          <w:bCs/>
          <w:i/>
          <w:iCs/>
          <w:sz w:val="24"/>
          <w:szCs w:val="24"/>
        </w:rPr>
        <w:t xml:space="preserve">Debt To Equity Ratio </w:t>
      </w:r>
      <w:r w:rsidRPr="00B5003E">
        <w:rPr>
          <w:rFonts w:eastAsia="Arial Unicode MS"/>
          <w:bCs/>
          <w:sz w:val="24"/>
          <w:szCs w:val="24"/>
        </w:rPr>
        <w:t>effect but not significant to</w:t>
      </w:r>
      <w:r w:rsidRPr="00B5003E">
        <w:rPr>
          <w:rFonts w:eastAsia="Arial Unicode MS"/>
          <w:bCs/>
          <w:i/>
          <w:iCs/>
          <w:sz w:val="24"/>
          <w:szCs w:val="24"/>
        </w:rPr>
        <w:t xml:space="preserve"> Return On Equity </w:t>
      </w:r>
      <w:r w:rsidRPr="00B5003E">
        <w:rPr>
          <w:rFonts w:eastAsia="Arial Unicode MS"/>
          <w:bCs/>
          <w:sz w:val="24"/>
          <w:szCs w:val="24"/>
        </w:rPr>
        <w:t>on</w:t>
      </w:r>
      <w:r w:rsidR="00757E20">
        <w:rPr>
          <w:b/>
          <w:sz w:val="24"/>
          <w:szCs w:val="24"/>
        </w:rPr>
        <w:t xml:space="preserve"> </w:t>
      </w:r>
      <w:r w:rsidRPr="00B5003E">
        <w:rPr>
          <w:rFonts w:eastAsia="Arial Unicode MS"/>
          <w:bCs/>
          <w:sz w:val="24"/>
          <w:szCs w:val="24"/>
        </w:rPr>
        <w:t xml:space="preserve">Transportation sector companies listed on the Indonesia Stock Exchange for the period 2015-2019. The research results partially prove that </w:t>
      </w:r>
      <w:r w:rsidRPr="00B5003E">
        <w:rPr>
          <w:rFonts w:eastAsia="Arial Unicode MS"/>
          <w:bCs/>
          <w:i/>
          <w:iCs/>
          <w:sz w:val="24"/>
          <w:szCs w:val="24"/>
        </w:rPr>
        <w:t>Total Asset Turnover</w:t>
      </w:r>
      <w:r w:rsidRPr="00B5003E">
        <w:rPr>
          <w:rFonts w:eastAsia="Arial Unicode MS"/>
          <w:bCs/>
          <w:sz w:val="24"/>
          <w:szCs w:val="24"/>
        </w:rPr>
        <w:t xml:space="preserve"> significant effect</w:t>
      </w:r>
      <w:r w:rsidR="00757E20">
        <w:rPr>
          <w:b/>
          <w:sz w:val="24"/>
          <w:szCs w:val="24"/>
        </w:rPr>
        <w:t xml:space="preserve"> </w:t>
      </w:r>
      <w:proofErr w:type="spellStart"/>
      <w:r w:rsidRPr="00B5003E">
        <w:rPr>
          <w:rFonts w:eastAsia="Arial Unicode MS"/>
          <w:bCs/>
          <w:sz w:val="24"/>
          <w:szCs w:val="24"/>
        </w:rPr>
        <w:t>to</w:t>
      </w:r>
      <w:r w:rsidRPr="00B5003E">
        <w:rPr>
          <w:rFonts w:eastAsia="Arial Unicode MS"/>
          <w:bCs/>
          <w:i/>
          <w:iCs/>
          <w:sz w:val="24"/>
          <w:szCs w:val="24"/>
        </w:rPr>
        <w:t>Return</w:t>
      </w:r>
      <w:proofErr w:type="spellEnd"/>
      <w:r w:rsidRPr="00B5003E">
        <w:rPr>
          <w:rFonts w:eastAsia="Arial Unicode MS"/>
          <w:bCs/>
          <w:i/>
          <w:iCs/>
          <w:sz w:val="24"/>
          <w:szCs w:val="24"/>
        </w:rPr>
        <w:t xml:space="preserve"> On Equity</w:t>
      </w:r>
      <w:r w:rsidRPr="00B5003E">
        <w:rPr>
          <w:rFonts w:eastAsia="Arial Unicode MS"/>
          <w:bCs/>
          <w:sz w:val="24"/>
          <w:szCs w:val="24"/>
        </w:rPr>
        <w:t xml:space="preserve"> in Transportation Sector Companies listed on the Indonesia Stock Exchange for the period 2015-2019. The results simultaneously prove that </w:t>
      </w:r>
      <w:r w:rsidRPr="00B5003E">
        <w:rPr>
          <w:rFonts w:eastAsia="Arial Unicode MS"/>
          <w:bCs/>
          <w:i/>
          <w:iCs/>
          <w:sz w:val="24"/>
          <w:szCs w:val="24"/>
        </w:rPr>
        <w:t xml:space="preserve">Current Ratio, Debt </w:t>
      </w:r>
      <w:proofErr w:type="gramStart"/>
      <w:r w:rsidRPr="00B5003E">
        <w:rPr>
          <w:rFonts w:eastAsia="Arial Unicode MS"/>
          <w:bCs/>
          <w:i/>
          <w:iCs/>
          <w:sz w:val="24"/>
          <w:szCs w:val="24"/>
        </w:rPr>
        <w:t>To</w:t>
      </w:r>
      <w:proofErr w:type="gramEnd"/>
      <w:r w:rsidRPr="00B5003E">
        <w:rPr>
          <w:rFonts w:eastAsia="Arial Unicode MS"/>
          <w:bCs/>
          <w:i/>
          <w:iCs/>
          <w:sz w:val="24"/>
          <w:szCs w:val="24"/>
        </w:rPr>
        <w:t xml:space="preserve"> Equity Ratio</w:t>
      </w:r>
      <w:r w:rsidRPr="00B5003E">
        <w:rPr>
          <w:rFonts w:eastAsia="Arial Unicode MS"/>
          <w:bCs/>
          <w:sz w:val="24"/>
          <w:szCs w:val="24"/>
        </w:rPr>
        <w:t xml:space="preserve"> and </w:t>
      </w:r>
      <w:r w:rsidRPr="00B5003E">
        <w:rPr>
          <w:rFonts w:eastAsia="Arial Unicode MS"/>
          <w:bCs/>
          <w:i/>
          <w:iCs/>
          <w:sz w:val="24"/>
          <w:szCs w:val="24"/>
        </w:rPr>
        <w:t>Total Asset Turnover</w:t>
      </w:r>
      <w:r w:rsidRPr="00B5003E">
        <w:rPr>
          <w:rFonts w:eastAsia="Arial Unicode MS"/>
          <w:bCs/>
          <w:sz w:val="24"/>
          <w:szCs w:val="24"/>
        </w:rPr>
        <w:t xml:space="preserve"> significant effect on </w:t>
      </w:r>
      <w:r w:rsidRPr="00B5003E">
        <w:rPr>
          <w:rFonts w:eastAsia="Arial Unicode MS"/>
          <w:bCs/>
          <w:i/>
          <w:iCs/>
          <w:sz w:val="24"/>
          <w:szCs w:val="24"/>
        </w:rPr>
        <w:t>Return On Equity</w:t>
      </w:r>
      <w:r w:rsidRPr="00B5003E">
        <w:rPr>
          <w:rFonts w:eastAsia="Arial Unicode MS"/>
          <w:bCs/>
          <w:sz w:val="24"/>
          <w:szCs w:val="24"/>
        </w:rPr>
        <w:t xml:space="preserve"> in Automotive Sector Companies listed on the Indonesia Stock Exchange for the period 2015-2019.</w:t>
      </w:r>
    </w:p>
    <w:p w:rsidR="00000088" w:rsidRPr="00B5003E" w:rsidRDefault="00000088" w:rsidP="00000088">
      <w:pPr>
        <w:rPr>
          <w:sz w:val="24"/>
          <w:szCs w:val="24"/>
        </w:rPr>
      </w:pPr>
    </w:p>
    <w:p w:rsidR="00000088" w:rsidRPr="00B5003E" w:rsidRDefault="00000088" w:rsidP="00000088">
      <w:pPr>
        <w:rPr>
          <w:b/>
          <w:sz w:val="24"/>
          <w:szCs w:val="24"/>
        </w:rPr>
      </w:pPr>
      <w:r w:rsidRPr="00B5003E">
        <w:rPr>
          <w:rFonts w:eastAsia="Arial Unicode MS"/>
          <w:b/>
          <w:bCs/>
          <w:sz w:val="24"/>
          <w:szCs w:val="24"/>
        </w:rPr>
        <w:t>REFERENCES</w:t>
      </w:r>
    </w:p>
    <w:p w:rsidR="00000088" w:rsidRPr="00B5003E" w:rsidRDefault="00000088" w:rsidP="00000088">
      <w:pPr>
        <w:rPr>
          <w:sz w:val="24"/>
          <w:szCs w:val="24"/>
        </w:rPr>
      </w:pPr>
    </w:p>
    <w:p w:rsidR="00757E20" w:rsidRDefault="00757E20" w:rsidP="00147A16">
      <w:pPr>
        <w:adjustRightInd w:val="0"/>
        <w:spacing w:before="240"/>
        <w:ind w:left="480" w:hanging="480"/>
        <w:jc w:val="both"/>
        <w:rPr>
          <w:noProof/>
          <w:sz w:val="24"/>
          <w:szCs w:val="24"/>
        </w:rPr>
      </w:pPr>
      <w:bookmarkStart w:id="13" w:name="_GoBack"/>
      <w:r w:rsidRPr="00793600">
        <w:rPr>
          <w:noProof/>
          <w:sz w:val="24"/>
          <w:szCs w:val="24"/>
        </w:rPr>
        <w:t xml:space="preserve">Alpi, M. F. (2018). Pengaruh Debt to Equity Ratio, Inventory Turnover dan Current Ratio Terhadap Return ON Equity Pada Perusahaan Sektor Farmasi Yang Terdaftar Di Bursa Efek Indonesia. In </w:t>
      </w:r>
      <w:r w:rsidRPr="00793600">
        <w:rPr>
          <w:i/>
          <w:iCs/>
          <w:noProof/>
          <w:sz w:val="24"/>
          <w:szCs w:val="24"/>
        </w:rPr>
        <w:t>Prosiding The National Conference on Management and Business (NCMAB)</w:t>
      </w:r>
      <w:r w:rsidRPr="00793600">
        <w:rPr>
          <w:noProof/>
          <w:sz w:val="24"/>
          <w:szCs w:val="24"/>
        </w:rPr>
        <w:t xml:space="preserve"> (pp. 158–175).</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Argananta, R. J., &amp; Hidayat, I. (2017). Analisis Pengaruh CR, DER dan TATO Terhadap ROE pada PT. Mustika Ratu Tbk. </w:t>
      </w:r>
      <w:r w:rsidRPr="00793600">
        <w:rPr>
          <w:i/>
          <w:iCs/>
          <w:noProof/>
          <w:sz w:val="24"/>
          <w:szCs w:val="24"/>
        </w:rPr>
        <w:t>Jurnal Ilmu Dan Riset Manajemen</w:t>
      </w:r>
      <w:r w:rsidRPr="00793600">
        <w:rPr>
          <w:noProof/>
          <w:sz w:val="24"/>
          <w:szCs w:val="24"/>
        </w:rPr>
        <w:t xml:space="preserve">, </w:t>
      </w:r>
      <w:r w:rsidRPr="00793600">
        <w:rPr>
          <w:i/>
          <w:iCs/>
          <w:noProof/>
          <w:sz w:val="24"/>
          <w:szCs w:val="24"/>
        </w:rPr>
        <w:t>6</w:t>
      </w:r>
      <w:r w:rsidRPr="00793600">
        <w:rPr>
          <w:noProof/>
          <w:sz w:val="24"/>
          <w:szCs w:val="24"/>
        </w:rPr>
        <w:t>(10), 1–19.</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Destari, A. Y., &amp; Hendratno. (2019). Analisis Pengaruh Debt to Equity Ratio, Current Ratio, Total Assets Turnover dan Size Terhadap Return On Equity. </w:t>
      </w:r>
      <w:r w:rsidRPr="00793600">
        <w:rPr>
          <w:i/>
          <w:iCs/>
          <w:noProof/>
          <w:sz w:val="24"/>
          <w:szCs w:val="24"/>
        </w:rPr>
        <w:t>Jasa (Jurnal Akuntansi, Audit Dan Sistem Informasi Akuntasi)</w:t>
      </w:r>
      <w:r w:rsidRPr="00793600">
        <w:rPr>
          <w:noProof/>
          <w:sz w:val="24"/>
          <w:szCs w:val="24"/>
        </w:rPr>
        <w:t xml:space="preserve">, </w:t>
      </w:r>
      <w:r w:rsidRPr="00793600">
        <w:rPr>
          <w:i/>
          <w:iCs/>
          <w:noProof/>
          <w:sz w:val="24"/>
          <w:szCs w:val="24"/>
        </w:rPr>
        <w:t>3</w:t>
      </w:r>
      <w:r w:rsidRPr="00793600">
        <w:rPr>
          <w:noProof/>
          <w:sz w:val="24"/>
          <w:szCs w:val="24"/>
        </w:rPr>
        <w:t>(1), 95–107.</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Ekananda, M. (2019). </w:t>
      </w:r>
      <w:r w:rsidRPr="00793600">
        <w:rPr>
          <w:i/>
          <w:iCs/>
          <w:noProof/>
          <w:sz w:val="24"/>
          <w:szCs w:val="24"/>
        </w:rPr>
        <w:t>Manajemen Investasi</w:t>
      </w:r>
      <w:r w:rsidRPr="00793600">
        <w:rPr>
          <w:noProof/>
          <w:sz w:val="24"/>
          <w:szCs w:val="24"/>
        </w:rPr>
        <w:t>. jakarta: Penerbit Erlangga.</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Fahmi. (2017a). </w:t>
      </w:r>
      <w:r w:rsidRPr="00793600">
        <w:rPr>
          <w:i/>
          <w:iCs/>
          <w:noProof/>
          <w:sz w:val="24"/>
          <w:szCs w:val="24"/>
        </w:rPr>
        <w:t>Analisis Laporan Keuangan</w:t>
      </w:r>
      <w:r w:rsidRPr="00793600">
        <w:rPr>
          <w:noProof/>
          <w:sz w:val="24"/>
          <w:szCs w:val="24"/>
        </w:rPr>
        <w:t>. Bandung: CV. Alfabeta.</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Fahmi, I. (2017b). </w:t>
      </w:r>
      <w:r w:rsidRPr="00793600">
        <w:rPr>
          <w:i/>
          <w:iCs/>
          <w:noProof/>
          <w:sz w:val="24"/>
          <w:szCs w:val="24"/>
        </w:rPr>
        <w:t>Analisis Laporan Keuangan</w:t>
      </w:r>
      <w:r w:rsidRPr="00793600">
        <w:rPr>
          <w:noProof/>
          <w:sz w:val="24"/>
          <w:szCs w:val="24"/>
        </w:rPr>
        <w:t>. Bandung: Alfabeta.</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Hasibuan, J. S. (2018). Pengaruh Current Ratio dan Debt to Equity Ratio Terhadap Return On Equity Pada Perum Perumnas Regional I Medan. </w:t>
      </w:r>
      <w:r w:rsidRPr="00793600">
        <w:rPr>
          <w:i/>
          <w:iCs/>
          <w:noProof/>
          <w:sz w:val="24"/>
          <w:szCs w:val="24"/>
        </w:rPr>
        <w:t>Prospek Dan Tantangan Pengelolaan Keuangan Desa</w:t>
      </w:r>
      <w:r w:rsidRPr="00793600">
        <w:rPr>
          <w:noProof/>
          <w:sz w:val="24"/>
          <w:szCs w:val="24"/>
        </w:rPr>
        <w:t xml:space="preserve">, </w:t>
      </w:r>
      <w:r w:rsidRPr="00793600">
        <w:rPr>
          <w:i/>
          <w:iCs/>
          <w:noProof/>
          <w:sz w:val="24"/>
          <w:szCs w:val="24"/>
        </w:rPr>
        <w:t>1</w:t>
      </w:r>
      <w:r w:rsidRPr="00793600">
        <w:rPr>
          <w:noProof/>
          <w:sz w:val="24"/>
          <w:szCs w:val="24"/>
        </w:rPr>
        <w:t>(1), 1–15.</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Jessica, J., Lilia, W., Leonardy, C., Kartika, M., &amp; Panggabean, N. (2020). Pengaruh ITO, CR, DER, TATO dan WCTO Terhadap ROE Pada Perusahaan Aneka Industri Terdaftar di BEI. </w:t>
      </w:r>
      <w:r w:rsidRPr="00793600">
        <w:rPr>
          <w:i/>
          <w:iCs/>
          <w:noProof/>
          <w:sz w:val="24"/>
          <w:szCs w:val="24"/>
        </w:rPr>
        <w:t>Berkala Akuntansi Dan Keuangan Indonesia</w:t>
      </w:r>
      <w:r w:rsidRPr="00793600">
        <w:rPr>
          <w:noProof/>
          <w:sz w:val="24"/>
          <w:szCs w:val="24"/>
        </w:rPr>
        <w:t xml:space="preserve">, </w:t>
      </w:r>
      <w:r w:rsidRPr="00793600">
        <w:rPr>
          <w:i/>
          <w:iCs/>
          <w:noProof/>
          <w:sz w:val="24"/>
          <w:szCs w:val="24"/>
        </w:rPr>
        <w:t>4</w:t>
      </w:r>
      <w:r w:rsidRPr="00793600">
        <w:rPr>
          <w:noProof/>
          <w:sz w:val="24"/>
          <w:szCs w:val="24"/>
        </w:rPr>
        <w:t>(2), 43–56. https://doi.org/10.20473/baki.v4i2.16792</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Juandi, B. A., Djamereng, A., &amp; Budiandriani. (2019). Pengaruh Current Ratio , Debt to Equity Ratio dan Total Asset Turnover terhadap Return on Equity pada PT. Hutama Karya. </w:t>
      </w:r>
      <w:r w:rsidRPr="00793600">
        <w:rPr>
          <w:i/>
          <w:iCs/>
          <w:noProof/>
          <w:sz w:val="24"/>
          <w:szCs w:val="24"/>
        </w:rPr>
        <w:t>Paradoks: Jurnal Ilmu Ekonomi</w:t>
      </w:r>
      <w:r w:rsidRPr="00793600">
        <w:rPr>
          <w:noProof/>
          <w:sz w:val="24"/>
          <w:szCs w:val="24"/>
        </w:rPr>
        <w:t xml:space="preserve">, </w:t>
      </w:r>
      <w:r w:rsidRPr="00793600">
        <w:rPr>
          <w:i/>
          <w:iCs/>
          <w:noProof/>
          <w:sz w:val="24"/>
          <w:szCs w:val="24"/>
        </w:rPr>
        <w:t>2</w:t>
      </w:r>
      <w:r w:rsidRPr="00793600">
        <w:rPr>
          <w:noProof/>
          <w:sz w:val="24"/>
          <w:szCs w:val="24"/>
        </w:rPr>
        <w:t>(4), 1–9.</w:t>
      </w:r>
    </w:p>
    <w:p w:rsidR="00757E20" w:rsidRPr="00793600" w:rsidRDefault="00757E20" w:rsidP="00147A16">
      <w:pPr>
        <w:adjustRightInd w:val="0"/>
        <w:spacing w:before="240"/>
        <w:ind w:left="480" w:hanging="480"/>
        <w:jc w:val="both"/>
        <w:rPr>
          <w:noProof/>
          <w:sz w:val="24"/>
          <w:szCs w:val="24"/>
        </w:rPr>
      </w:pPr>
      <w:r w:rsidRPr="00793600">
        <w:rPr>
          <w:noProof/>
          <w:sz w:val="24"/>
          <w:szCs w:val="24"/>
        </w:rPr>
        <w:lastRenderedPageBreak/>
        <w:t xml:space="preserve">Jufrizen, J. (2015). Pengaruh Inventory Turn Over Dan Fixed Asset Turn Over terhadap Return on Equity pada Perusahaan Farmasi yang Terdaftar di BEI Tahun 2007-2013. </w:t>
      </w:r>
      <w:r w:rsidRPr="00793600">
        <w:rPr>
          <w:i/>
          <w:iCs/>
          <w:noProof/>
          <w:sz w:val="24"/>
          <w:szCs w:val="24"/>
        </w:rPr>
        <w:t>Jurnal Kajian Manajemen Bisnis</w:t>
      </w:r>
      <w:r w:rsidRPr="00793600">
        <w:rPr>
          <w:noProof/>
          <w:sz w:val="24"/>
          <w:szCs w:val="24"/>
        </w:rPr>
        <w:t xml:space="preserve">, </w:t>
      </w:r>
      <w:r w:rsidRPr="00793600">
        <w:rPr>
          <w:i/>
          <w:iCs/>
          <w:noProof/>
          <w:sz w:val="24"/>
          <w:szCs w:val="24"/>
        </w:rPr>
        <w:t>4</w:t>
      </w:r>
      <w:r w:rsidRPr="00793600">
        <w:rPr>
          <w:noProof/>
          <w:sz w:val="24"/>
          <w:szCs w:val="24"/>
        </w:rPr>
        <w:t>(1), 110–128. https://doi.org/10.2403/jkmb.618100</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Jufrizen, J., &amp; Sari, M. (2019). Pengaruh Current Ratio, Debt to Equity Ratio dan Firm Size terhadap Return on Equity. </w:t>
      </w:r>
      <w:r w:rsidRPr="00793600">
        <w:rPr>
          <w:i/>
          <w:iCs/>
          <w:noProof/>
          <w:sz w:val="24"/>
          <w:szCs w:val="24"/>
        </w:rPr>
        <w:t>Jurnal Riset Akuntansi : Aksioma</w:t>
      </w:r>
      <w:r w:rsidRPr="00793600">
        <w:rPr>
          <w:noProof/>
          <w:sz w:val="24"/>
          <w:szCs w:val="24"/>
        </w:rPr>
        <w:t xml:space="preserve">, </w:t>
      </w:r>
      <w:r w:rsidRPr="00793600">
        <w:rPr>
          <w:i/>
          <w:iCs/>
          <w:noProof/>
          <w:sz w:val="24"/>
          <w:szCs w:val="24"/>
        </w:rPr>
        <w:t>18</w:t>
      </w:r>
      <w:r w:rsidRPr="00793600">
        <w:rPr>
          <w:noProof/>
          <w:sz w:val="24"/>
          <w:szCs w:val="24"/>
        </w:rPr>
        <w:t>(1), 156–191. https://doi.org/10.29303/aksioma.v18i1.58</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Juliandi, A., &amp; Irfan. (2013). </w:t>
      </w:r>
      <w:r w:rsidRPr="00793600">
        <w:rPr>
          <w:i/>
          <w:iCs/>
          <w:noProof/>
          <w:sz w:val="24"/>
          <w:szCs w:val="24"/>
        </w:rPr>
        <w:t>Metode Penelitian Kuantitatif</w:t>
      </w:r>
      <w:r w:rsidRPr="00793600">
        <w:rPr>
          <w:noProof/>
          <w:sz w:val="24"/>
          <w:szCs w:val="24"/>
        </w:rPr>
        <w:t xml:space="preserve"> (pertama). Medan: Citapustaka Media Perintis.</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Kasmir. (2012). </w:t>
      </w:r>
      <w:r w:rsidRPr="00793600">
        <w:rPr>
          <w:i/>
          <w:iCs/>
          <w:noProof/>
          <w:sz w:val="24"/>
          <w:szCs w:val="24"/>
        </w:rPr>
        <w:t>Analisis Laporan Keuangan</w:t>
      </w:r>
      <w:r w:rsidRPr="00793600">
        <w:rPr>
          <w:noProof/>
          <w:sz w:val="24"/>
          <w:szCs w:val="24"/>
        </w:rPr>
        <w:t>. Jakarta: PT. Raja Grafindo Persada.</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Pratomo, A. J. (2017). Pengaruh Debt to Equity Ratio (DER) Dan Current Ratio (CR) Terhadap Return on Equity (ROE). Studi Empiris Pada Perusahaan Sub Sektor Kabel Yang Terdaftar di Bursa Efek Indonesia Pada Tahun 2013-2016. </w:t>
      </w:r>
      <w:r w:rsidRPr="00793600">
        <w:rPr>
          <w:i/>
          <w:iCs/>
          <w:noProof/>
          <w:sz w:val="24"/>
          <w:szCs w:val="24"/>
        </w:rPr>
        <w:t>Jurnal Manajemen Dan Bisnis</w:t>
      </w:r>
      <w:r w:rsidRPr="00793600">
        <w:rPr>
          <w:noProof/>
          <w:sz w:val="24"/>
          <w:szCs w:val="24"/>
        </w:rPr>
        <w:t xml:space="preserve">, </w:t>
      </w:r>
      <w:r w:rsidRPr="00793600">
        <w:rPr>
          <w:i/>
          <w:iCs/>
          <w:noProof/>
          <w:sz w:val="24"/>
          <w:szCs w:val="24"/>
        </w:rPr>
        <w:t>5</w:t>
      </w:r>
      <w:r w:rsidRPr="00793600">
        <w:rPr>
          <w:noProof/>
          <w:sz w:val="24"/>
          <w:szCs w:val="24"/>
        </w:rPr>
        <w:t>(4), 942–956.</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Prihadi, T. (2019). </w:t>
      </w:r>
      <w:r w:rsidRPr="00793600">
        <w:rPr>
          <w:i/>
          <w:iCs/>
          <w:noProof/>
          <w:sz w:val="24"/>
          <w:szCs w:val="24"/>
        </w:rPr>
        <w:t>Analisis Laporan Keuangan Konsep dan Aplikasi</w:t>
      </w:r>
      <w:r w:rsidRPr="00793600">
        <w:rPr>
          <w:noProof/>
          <w:sz w:val="24"/>
          <w:szCs w:val="24"/>
        </w:rPr>
        <w:t>. Jakarta: Pt. Gramedia Pustaka Utama.</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Putra, H. S. (2020). Pengaruh Current Ratio dan Total Assets Turnover Terhadap Price to Book Value Dengan Dimediasi Oleh Return On Equity pada Perusahaan Sub Sektor Farmasi Yang Terdaftar Di Bursa Efek Indonesia. </w:t>
      </w:r>
      <w:r w:rsidRPr="00793600">
        <w:rPr>
          <w:i/>
          <w:iCs/>
          <w:noProof/>
          <w:sz w:val="24"/>
          <w:szCs w:val="24"/>
        </w:rPr>
        <w:t>Maneggio: Jurnal Ilmiah Magister Manajemen</w:t>
      </w:r>
      <w:r w:rsidRPr="00793600">
        <w:rPr>
          <w:noProof/>
          <w:sz w:val="24"/>
          <w:szCs w:val="24"/>
        </w:rPr>
        <w:t xml:space="preserve">, </w:t>
      </w:r>
      <w:r w:rsidRPr="00793600">
        <w:rPr>
          <w:i/>
          <w:iCs/>
          <w:noProof/>
          <w:sz w:val="24"/>
          <w:szCs w:val="24"/>
        </w:rPr>
        <w:t>3</w:t>
      </w:r>
      <w:r w:rsidRPr="00793600">
        <w:rPr>
          <w:noProof/>
          <w:sz w:val="24"/>
          <w:szCs w:val="24"/>
        </w:rPr>
        <w:t>(1), 92–106. https://doi.org/10.30596/maneggio.v3i1.4856</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Sipahutar, R. P., &amp; Gultom, D. K. (2017). Pengaruh Debt To Equity Ratio Dan Longterm Debt To Equity Ratio Terhadap Return On Equity Dengan Ukuran Perusahaan Sebagai Variabel Moderating Di Bursa Efek Indonesia. </w:t>
      </w:r>
      <w:r w:rsidRPr="00793600">
        <w:rPr>
          <w:i/>
          <w:iCs/>
          <w:noProof/>
          <w:sz w:val="24"/>
          <w:szCs w:val="24"/>
        </w:rPr>
        <w:t>Jurnal Riset Finansial Bisnis</w:t>
      </w:r>
      <w:r w:rsidRPr="00793600">
        <w:rPr>
          <w:noProof/>
          <w:sz w:val="24"/>
          <w:szCs w:val="24"/>
        </w:rPr>
        <w:t xml:space="preserve">, </w:t>
      </w:r>
      <w:r w:rsidRPr="00793600">
        <w:rPr>
          <w:i/>
          <w:iCs/>
          <w:noProof/>
          <w:sz w:val="24"/>
          <w:szCs w:val="24"/>
        </w:rPr>
        <w:t>1</w:t>
      </w:r>
      <w:r w:rsidRPr="00793600">
        <w:rPr>
          <w:noProof/>
          <w:sz w:val="24"/>
          <w:szCs w:val="24"/>
        </w:rPr>
        <w:t>(2), 137–146. https://doi.org/10.5281/zenodo.1098493</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Sudana, I. M. (2011). </w:t>
      </w:r>
      <w:r w:rsidRPr="00793600">
        <w:rPr>
          <w:i/>
          <w:iCs/>
          <w:noProof/>
          <w:sz w:val="24"/>
          <w:szCs w:val="24"/>
        </w:rPr>
        <w:t>Manajemen Keuangan Perusahaan</w:t>
      </w:r>
      <w:r w:rsidRPr="00793600">
        <w:rPr>
          <w:noProof/>
          <w:sz w:val="24"/>
          <w:szCs w:val="24"/>
        </w:rPr>
        <w:t>. (Novietha I. Sallama, Ed.). Surabaya: PT. Gelora Aksara Pratama.</w:t>
      </w:r>
    </w:p>
    <w:p w:rsidR="00147A16" w:rsidRDefault="00757E20" w:rsidP="00147A16">
      <w:pPr>
        <w:adjustRightInd w:val="0"/>
        <w:spacing w:before="240"/>
        <w:ind w:left="480" w:hanging="480"/>
        <w:jc w:val="both"/>
        <w:rPr>
          <w:noProof/>
          <w:sz w:val="24"/>
          <w:szCs w:val="24"/>
        </w:rPr>
      </w:pPr>
      <w:r w:rsidRPr="00793600">
        <w:rPr>
          <w:noProof/>
          <w:sz w:val="24"/>
          <w:szCs w:val="24"/>
        </w:rPr>
        <w:t xml:space="preserve">Sudana, I. M. (2015). </w:t>
      </w:r>
      <w:r w:rsidRPr="00793600">
        <w:rPr>
          <w:i/>
          <w:iCs/>
          <w:noProof/>
          <w:sz w:val="24"/>
          <w:szCs w:val="24"/>
        </w:rPr>
        <w:t>Manajemen Keuangan Perusahaan Teori dan Praktik</w:t>
      </w:r>
      <w:r w:rsidRPr="00793600">
        <w:rPr>
          <w:noProof/>
          <w:sz w:val="24"/>
          <w:szCs w:val="24"/>
        </w:rPr>
        <w:t xml:space="preserve"> (Edisi 2). Jakarta: Erlangga.</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Sugiyono. (2017). </w:t>
      </w:r>
      <w:r w:rsidRPr="00793600">
        <w:rPr>
          <w:i/>
          <w:iCs/>
          <w:noProof/>
          <w:sz w:val="24"/>
          <w:szCs w:val="24"/>
        </w:rPr>
        <w:t>Metode Penelitian Pendidikan (Dua Belas)</w:t>
      </w:r>
      <w:r w:rsidRPr="00793600">
        <w:rPr>
          <w:noProof/>
          <w:sz w:val="24"/>
          <w:szCs w:val="24"/>
        </w:rPr>
        <w:t>. Bandung: Alfabeta.</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Sujarweni, W. (2015). </w:t>
      </w:r>
      <w:r w:rsidRPr="00793600">
        <w:rPr>
          <w:i/>
          <w:iCs/>
          <w:noProof/>
          <w:sz w:val="24"/>
          <w:szCs w:val="24"/>
        </w:rPr>
        <w:t>Statistik Untuk Bisnis Ekonomi (Pertama)</w:t>
      </w:r>
      <w:r w:rsidRPr="00793600">
        <w:rPr>
          <w:noProof/>
          <w:sz w:val="24"/>
          <w:szCs w:val="24"/>
        </w:rPr>
        <w:t>. Yogyakarta: Pustaka Baru Pers.</w:t>
      </w:r>
    </w:p>
    <w:p w:rsidR="00757E20" w:rsidRPr="00793600" w:rsidRDefault="00757E20" w:rsidP="00147A16">
      <w:pPr>
        <w:adjustRightInd w:val="0"/>
        <w:spacing w:before="240"/>
        <w:ind w:left="480" w:hanging="480"/>
        <w:jc w:val="both"/>
        <w:rPr>
          <w:noProof/>
          <w:sz w:val="24"/>
          <w:szCs w:val="24"/>
        </w:rPr>
      </w:pPr>
      <w:r w:rsidRPr="00793600">
        <w:rPr>
          <w:noProof/>
          <w:sz w:val="24"/>
          <w:szCs w:val="24"/>
        </w:rPr>
        <w:t xml:space="preserve">Wahyuni, S. F. (2017). Peran Kepemilikan Institusional Dalam Memoderasi Pengaruh Current Ratio, Debt To Equity Ratio Total Asset Turnover Dan Inventory Turnover Terhadap Return On Equity Di Bursa Efek Indonesia. </w:t>
      </w:r>
      <w:r w:rsidRPr="00793600">
        <w:rPr>
          <w:i/>
          <w:iCs/>
          <w:noProof/>
          <w:sz w:val="24"/>
          <w:szCs w:val="24"/>
        </w:rPr>
        <w:t>Jurnal Riset Finansial Bisnis</w:t>
      </w:r>
      <w:r w:rsidRPr="00793600">
        <w:rPr>
          <w:noProof/>
          <w:sz w:val="24"/>
          <w:szCs w:val="24"/>
        </w:rPr>
        <w:t xml:space="preserve">, </w:t>
      </w:r>
      <w:r w:rsidRPr="00793600">
        <w:rPr>
          <w:i/>
          <w:iCs/>
          <w:noProof/>
          <w:sz w:val="24"/>
          <w:szCs w:val="24"/>
        </w:rPr>
        <w:t>1</w:t>
      </w:r>
      <w:r w:rsidRPr="00793600">
        <w:rPr>
          <w:noProof/>
          <w:sz w:val="24"/>
          <w:szCs w:val="24"/>
        </w:rPr>
        <w:t>(2), 147–158.</w:t>
      </w:r>
    </w:p>
    <w:p w:rsidR="00000088" w:rsidRPr="000265F8" w:rsidRDefault="00757E20" w:rsidP="000265F8">
      <w:pPr>
        <w:adjustRightInd w:val="0"/>
        <w:spacing w:before="240"/>
        <w:ind w:left="480" w:hanging="480"/>
        <w:jc w:val="both"/>
        <w:rPr>
          <w:noProof/>
          <w:sz w:val="24"/>
          <w:szCs w:val="24"/>
        </w:rPr>
      </w:pPr>
      <w:r w:rsidRPr="00793600">
        <w:rPr>
          <w:noProof/>
          <w:sz w:val="24"/>
          <w:szCs w:val="24"/>
        </w:rPr>
        <w:t xml:space="preserve">Yusnandar, W. (2019). Pengaruh Current Ratio, Return On Asset, Asset Structure Dan Total Asset Turnover Terhadap Debt To Equity Ratio Pada Perusahaan Perkebunan Yang Terdaftar Di Bursa Efek Indonesia. </w:t>
      </w:r>
      <w:r w:rsidRPr="00793600">
        <w:rPr>
          <w:i/>
          <w:iCs/>
          <w:noProof/>
          <w:sz w:val="24"/>
          <w:szCs w:val="24"/>
        </w:rPr>
        <w:t>Jurnal Krisna: Kumpulan Riset Akuntansi</w:t>
      </w:r>
      <w:r w:rsidRPr="00793600">
        <w:rPr>
          <w:noProof/>
          <w:sz w:val="24"/>
          <w:szCs w:val="24"/>
        </w:rPr>
        <w:t xml:space="preserve">, </w:t>
      </w:r>
      <w:r w:rsidRPr="00793600">
        <w:rPr>
          <w:i/>
          <w:iCs/>
          <w:noProof/>
          <w:sz w:val="24"/>
          <w:szCs w:val="24"/>
        </w:rPr>
        <w:t>11</w:t>
      </w:r>
      <w:r w:rsidRPr="00793600">
        <w:rPr>
          <w:noProof/>
          <w:sz w:val="24"/>
          <w:szCs w:val="24"/>
        </w:rPr>
        <w:t xml:space="preserve">(1), 71–80.   </w:t>
      </w:r>
      <w:bookmarkEnd w:id="13"/>
    </w:p>
    <w:sectPr w:rsidR="00000088" w:rsidRPr="000265F8" w:rsidSect="00B5003E">
      <w:pgSz w:w="12240" w:h="15840"/>
      <w:pgMar w:top="1440" w:right="1400" w:bottom="1440" w:left="1440" w:header="0" w:footer="0" w:gutter="0"/>
      <w:cols w:space="720" w:equalWidth="0">
        <w:col w:w="94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5CFF"/>
    <w:multiLevelType w:val="hybridMultilevel"/>
    <w:tmpl w:val="08CE3CDE"/>
    <w:lvl w:ilvl="0" w:tplc="843A475A">
      <w:start w:val="2"/>
      <w:numFmt w:val="lowerLetter"/>
      <w:lvlText w:val="%1."/>
      <w:lvlJc w:val="left"/>
    </w:lvl>
    <w:lvl w:ilvl="1" w:tplc="C674C912">
      <w:numFmt w:val="decimal"/>
      <w:lvlText w:val=""/>
      <w:lvlJc w:val="left"/>
    </w:lvl>
    <w:lvl w:ilvl="2" w:tplc="7234B528">
      <w:numFmt w:val="decimal"/>
      <w:lvlText w:val=""/>
      <w:lvlJc w:val="left"/>
    </w:lvl>
    <w:lvl w:ilvl="3" w:tplc="5F92C8A4">
      <w:numFmt w:val="decimal"/>
      <w:lvlText w:val=""/>
      <w:lvlJc w:val="left"/>
    </w:lvl>
    <w:lvl w:ilvl="4" w:tplc="BA32880A">
      <w:numFmt w:val="decimal"/>
      <w:lvlText w:val=""/>
      <w:lvlJc w:val="left"/>
    </w:lvl>
    <w:lvl w:ilvl="5" w:tplc="6FCA3700">
      <w:numFmt w:val="decimal"/>
      <w:lvlText w:val=""/>
      <w:lvlJc w:val="left"/>
    </w:lvl>
    <w:lvl w:ilvl="6" w:tplc="5810D6BA">
      <w:numFmt w:val="decimal"/>
      <w:lvlText w:val=""/>
      <w:lvlJc w:val="left"/>
    </w:lvl>
    <w:lvl w:ilvl="7" w:tplc="55CABA5E">
      <w:numFmt w:val="decimal"/>
      <w:lvlText w:val=""/>
      <w:lvlJc w:val="left"/>
    </w:lvl>
    <w:lvl w:ilvl="8" w:tplc="2520AAF0">
      <w:numFmt w:val="decimal"/>
      <w:lvlText w:val=""/>
      <w:lvlJc w:val="left"/>
    </w:lvl>
  </w:abstractNum>
  <w:abstractNum w:abstractNumId="1">
    <w:nsid w:val="2AE8944A"/>
    <w:multiLevelType w:val="hybridMultilevel"/>
    <w:tmpl w:val="285A6470"/>
    <w:lvl w:ilvl="0" w:tplc="BCC0A1EC">
      <w:start w:val="3"/>
      <w:numFmt w:val="lowerLetter"/>
      <w:lvlText w:val="%1."/>
      <w:lvlJc w:val="left"/>
    </w:lvl>
    <w:lvl w:ilvl="1" w:tplc="6066B178">
      <w:numFmt w:val="decimal"/>
      <w:lvlText w:val=""/>
      <w:lvlJc w:val="left"/>
    </w:lvl>
    <w:lvl w:ilvl="2" w:tplc="D310BFD2">
      <w:numFmt w:val="decimal"/>
      <w:lvlText w:val=""/>
      <w:lvlJc w:val="left"/>
    </w:lvl>
    <w:lvl w:ilvl="3" w:tplc="7D243BDC">
      <w:numFmt w:val="decimal"/>
      <w:lvlText w:val=""/>
      <w:lvlJc w:val="left"/>
    </w:lvl>
    <w:lvl w:ilvl="4" w:tplc="DAFEEF4A">
      <w:numFmt w:val="decimal"/>
      <w:lvlText w:val=""/>
      <w:lvlJc w:val="left"/>
    </w:lvl>
    <w:lvl w:ilvl="5" w:tplc="90989698">
      <w:numFmt w:val="decimal"/>
      <w:lvlText w:val=""/>
      <w:lvlJc w:val="left"/>
    </w:lvl>
    <w:lvl w:ilvl="6" w:tplc="D8C6D8A4">
      <w:numFmt w:val="decimal"/>
      <w:lvlText w:val=""/>
      <w:lvlJc w:val="left"/>
    </w:lvl>
    <w:lvl w:ilvl="7" w:tplc="A4280F0A">
      <w:numFmt w:val="decimal"/>
      <w:lvlText w:val=""/>
      <w:lvlJc w:val="left"/>
    </w:lvl>
    <w:lvl w:ilvl="8" w:tplc="443AB412">
      <w:numFmt w:val="decimal"/>
      <w:lvlText w:val=""/>
      <w:lvlJc w:val="left"/>
    </w:lvl>
  </w:abstractNum>
  <w:abstractNum w:abstractNumId="2">
    <w:nsid w:val="326468BB"/>
    <w:multiLevelType w:val="hybridMultilevel"/>
    <w:tmpl w:val="41E2E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5558EC"/>
    <w:multiLevelType w:val="hybridMultilevel"/>
    <w:tmpl w:val="91B2E142"/>
    <w:lvl w:ilvl="0" w:tplc="2A16E1E2">
      <w:start w:val="4"/>
      <w:numFmt w:val="lowerLetter"/>
      <w:lvlText w:val="%1."/>
      <w:lvlJc w:val="left"/>
    </w:lvl>
    <w:lvl w:ilvl="1" w:tplc="3A264910">
      <w:numFmt w:val="decimal"/>
      <w:lvlText w:val=""/>
      <w:lvlJc w:val="left"/>
    </w:lvl>
    <w:lvl w:ilvl="2" w:tplc="7A1AD2F4">
      <w:numFmt w:val="decimal"/>
      <w:lvlText w:val=""/>
      <w:lvlJc w:val="left"/>
    </w:lvl>
    <w:lvl w:ilvl="3" w:tplc="835CD8E6">
      <w:numFmt w:val="decimal"/>
      <w:lvlText w:val=""/>
      <w:lvlJc w:val="left"/>
    </w:lvl>
    <w:lvl w:ilvl="4" w:tplc="6C08EFAE">
      <w:numFmt w:val="decimal"/>
      <w:lvlText w:val=""/>
      <w:lvlJc w:val="left"/>
    </w:lvl>
    <w:lvl w:ilvl="5" w:tplc="A5D8CEE2">
      <w:numFmt w:val="decimal"/>
      <w:lvlText w:val=""/>
      <w:lvlJc w:val="left"/>
    </w:lvl>
    <w:lvl w:ilvl="6" w:tplc="6A221CC8">
      <w:numFmt w:val="decimal"/>
      <w:lvlText w:val=""/>
      <w:lvlJc w:val="left"/>
    </w:lvl>
    <w:lvl w:ilvl="7" w:tplc="756AD620">
      <w:numFmt w:val="decimal"/>
      <w:lvlText w:val=""/>
      <w:lvlJc w:val="left"/>
    </w:lvl>
    <w:lvl w:ilvl="8" w:tplc="3522D56A">
      <w:numFmt w:val="decimal"/>
      <w:lvlText w:val=""/>
      <w:lvlJc w:val="left"/>
    </w:lvl>
  </w:abstractNum>
  <w:abstractNum w:abstractNumId="4">
    <w:nsid w:val="74B0DC51"/>
    <w:multiLevelType w:val="hybridMultilevel"/>
    <w:tmpl w:val="D5B2BCEC"/>
    <w:lvl w:ilvl="0" w:tplc="262EFF76">
      <w:start w:val="185"/>
      <w:numFmt w:val="decimal"/>
      <w:lvlText w:val="%1)"/>
      <w:lvlJc w:val="left"/>
    </w:lvl>
    <w:lvl w:ilvl="1" w:tplc="0D92D5A8">
      <w:numFmt w:val="decimal"/>
      <w:lvlText w:val=""/>
      <w:lvlJc w:val="left"/>
    </w:lvl>
    <w:lvl w:ilvl="2" w:tplc="36AEF936">
      <w:numFmt w:val="decimal"/>
      <w:lvlText w:val=""/>
      <w:lvlJc w:val="left"/>
    </w:lvl>
    <w:lvl w:ilvl="3" w:tplc="12A4A4F8">
      <w:numFmt w:val="decimal"/>
      <w:lvlText w:val=""/>
      <w:lvlJc w:val="left"/>
    </w:lvl>
    <w:lvl w:ilvl="4" w:tplc="3F32DFB6">
      <w:numFmt w:val="decimal"/>
      <w:lvlText w:val=""/>
      <w:lvlJc w:val="left"/>
    </w:lvl>
    <w:lvl w:ilvl="5" w:tplc="D00030D0">
      <w:numFmt w:val="decimal"/>
      <w:lvlText w:val=""/>
      <w:lvlJc w:val="left"/>
    </w:lvl>
    <w:lvl w:ilvl="6" w:tplc="0EB6AE90">
      <w:numFmt w:val="decimal"/>
      <w:lvlText w:val=""/>
      <w:lvlJc w:val="left"/>
    </w:lvl>
    <w:lvl w:ilvl="7" w:tplc="5A62DEE2">
      <w:numFmt w:val="decimal"/>
      <w:lvlText w:val=""/>
      <w:lvlJc w:val="left"/>
    </w:lvl>
    <w:lvl w:ilvl="8" w:tplc="1FD0E0C8">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80268"/>
    <w:rsid w:val="00000088"/>
    <w:rsid w:val="000265F8"/>
    <w:rsid w:val="000604C5"/>
    <w:rsid w:val="00147A16"/>
    <w:rsid w:val="001824BF"/>
    <w:rsid w:val="002E1BC0"/>
    <w:rsid w:val="003E785C"/>
    <w:rsid w:val="004C38C0"/>
    <w:rsid w:val="00591AC0"/>
    <w:rsid w:val="005D7235"/>
    <w:rsid w:val="00724815"/>
    <w:rsid w:val="00757E20"/>
    <w:rsid w:val="00782F76"/>
    <w:rsid w:val="008C66FE"/>
    <w:rsid w:val="009277AF"/>
    <w:rsid w:val="00966E92"/>
    <w:rsid w:val="00980268"/>
    <w:rsid w:val="00B5003E"/>
    <w:rsid w:val="00C70872"/>
    <w:rsid w:val="00CA1F07"/>
    <w:rsid w:val="00CE7B8C"/>
    <w:rsid w:val="00CF5640"/>
    <w:rsid w:val="00E111D3"/>
    <w:rsid w:val="00E80ACE"/>
    <w:rsid w:val="00E83B7E"/>
    <w:rsid w:val="00EC3D04"/>
    <w:rsid w:val="00F22BDE"/>
    <w:rsid w:val="00FC0D86"/>
    <w:rsid w:val="00FE4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97"/>
        <o:r id="V:Rule4" type="connector" idref="#_x0000_s1099"/>
        <o:r id="V:Rule6" type="connector" idref="#_x0000_s1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15"/>
  </w:style>
  <w:style w:type="paragraph" w:styleId="Heading2">
    <w:name w:val="heading 2"/>
    <w:basedOn w:val="Normal"/>
    <w:link w:val="Heading2Char"/>
    <w:uiPriority w:val="1"/>
    <w:qFormat/>
    <w:rsid w:val="00B5003E"/>
    <w:pPr>
      <w:widowControl w:val="0"/>
      <w:autoSpaceDE w:val="0"/>
      <w:autoSpaceDN w:val="0"/>
      <w:spacing w:line="274" w:lineRule="exact"/>
      <w:ind w:left="100"/>
      <w:jc w:val="both"/>
      <w:outlineLvl w:val="1"/>
    </w:pPr>
    <w:rPr>
      <w:rFonts w:eastAsia="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Title">
    <w:name w:val="Abstract Title"/>
    <w:basedOn w:val="Normal"/>
    <w:rsid w:val="00FC0D86"/>
    <w:pPr>
      <w:jc w:val="center"/>
    </w:pPr>
    <w:rPr>
      <w:rFonts w:eastAsia="Times New Roman"/>
      <w:b/>
      <w:sz w:val="20"/>
      <w:szCs w:val="20"/>
    </w:rPr>
  </w:style>
  <w:style w:type="paragraph" w:styleId="BodyText">
    <w:name w:val="Body Text"/>
    <w:basedOn w:val="Normal"/>
    <w:link w:val="BodyTextChar"/>
    <w:uiPriority w:val="1"/>
    <w:qFormat/>
    <w:rsid w:val="00B5003E"/>
    <w:pPr>
      <w:widowControl w:val="0"/>
      <w:autoSpaceDE w:val="0"/>
      <w:autoSpaceDN w:val="0"/>
      <w:ind w:left="100"/>
      <w:jc w:val="both"/>
    </w:pPr>
    <w:rPr>
      <w:rFonts w:eastAsia="Times New Roman"/>
      <w:sz w:val="24"/>
      <w:szCs w:val="24"/>
    </w:rPr>
  </w:style>
  <w:style w:type="character" w:customStyle="1" w:styleId="BodyTextChar">
    <w:name w:val="Body Text Char"/>
    <w:basedOn w:val="DefaultParagraphFont"/>
    <w:link w:val="BodyText"/>
    <w:uiPriority w:val="1"/>
    <w:rsid w:val="00B5003E"/>
    <w:rPr>
      <w:rFonts w:eastAsia="Times New Roman"/>
      <w:sz w:val="24"/>
      <w:szCs w:val="24"/>
    </w:rPr>
  </w:style>
  <w:style w:type="character" w:customStyle="1" w:styleId="Heading2Char">
    <w:name w:val="Heading 2 Char"/>
    <w:basedOn w:val="DefaultParagraphFont"/>
    <w:link w:val="Heading2"/>
    <w:uiPriority w:val="1"/>
    <w:rsid w:val="00B5003E"/>
    <w:rPr>
      <w:rFonts w:eastAsia="Times New Roman"/>
      <w:b/>
      <w:bCs/>
      <w:i/>
      <w:iCs/>
      <w:sz w:val="24"/>
      <w:szCs w:val="24"/>
    </w:rPr>
  </w:style>
  <w:style w:type="paragraph" w:styleId="BalloonText">
    <w:name w:val="Balloon Text"/>
    <w:basedOn w:val="Normal"/>
    <w:link w:val="BalloonTextChar"/>
    <w:uiPriority w:val="99"/>
    <w:semiHidden/>
    <w:unhideWhenUsed/>
    <w:rsid w:val="00000088"/>
    <w:rPr>
      <w:rFonts w:ascii="Tahoma" w:hAnsi="Tahoma" w:cs="Tahoma"/>
      <w:sz w:val="16"/>
      <w:szCs w:val="16"/>
    </w:rPr>
  </w:style>
  <w:style w:type="character" w:customStyle="1" w:styleId="BalloonTextChar">
    <w:name w:val="Balloon Text Char"/>
    <w:basedOn w:val="DefaultParagraphFont"/>
    <w:link w:val="BalloonText"/>
    <w:uiPriority w:val="99"/>
    <w:semiHidden/>
    <w:rsid w:val="00000088"/>
    <w:rPr>
      <w:rFonts w:ascii="Tahoma" w:hAnsi="Tahoma" w:cs="Tahoma"/>
      <w:sz w:val="16"/>
      <w:szCs w:val="16"/>
    </w:rPr>
  </w:style>
  <w:style w:type="paragraph" w:styleId="ListParagraph">
    <w:name w:val="List Paragraph"/>
    <w:basedOn w:val="Normal"/>
    <w:uiPriority w:val="34"/>
    <w:qFormat/>
    <w:rsid w:val="000604C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leekr.co/blog/6-cara-mengelola-hutang-dalam-berbisn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eekr.co/blog/6-cara-mengelola-hutang-dalam-berbisnis/" TargetMode="External"/><Relationship Id="rId11" Type="http://schemas.openxmlformats.org/officeDocument/2006/relationships/fontTable" Target="fontTable.xml"/><Relationship Id="rId5" Type="http://schemas.openxmlformats.org/officeDocument/2006/relationships/hyperlink" Target="mailto:qahfiromula@umsu.ac.id"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15</Pages>
  <Words>5906</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4</cp:revision>
  <dcterms:created xsi:type="dcterms:W3CDTF">2021-03-26T06:38:00Z</dcterms:created>
  <dcterms:modified xsi:type="dcterms:W3CDTF">2021-03-26T09:26:00Z</dcterms:modified>
</cp:coreProperties>
</file>