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80" w:rsidRPr="00EF6A42" w:rsidRDefault="00B74680" w:rsidP="00B74680">
      <w:pPr>
        <w:spacing w:line="360" w:lineRule="auto"/>
        <w:rPr>
          <w:rFonts w:ascii="Cambria Math" w:hAnsi="Cambria Math" w:cs="Arial"/>
          <w:b/>
          <w:sz w:val="28"/>
          <w:szCs w:val="24"/>
        </w:rPr>
      </w:pPr>
      <w:bookmarkStart w:id="0" w:name="_GoBack"/>
      <w:bookmarkEnd w:id="0"/>
      <w:r w:rsidRPr="00EF6A42">
        <w:rPr>
          <w:rFonts w:ascii="Cambria Math" w:hAnsi="Cambria Math" w:cs="Arial"/>
          <w:b/>
          <w:sz w:val="28"/>
          <w:szCs w:val="24"/>
        </w:rPr>
        <w:t>Hiperparatiroidisme Primer dengan Normokalsemia</w:t>
      </w:r>
    </w:p>
    <w:p w:rsidR="00B74680" w:rsidRPr="007C7E08" w:rsidRDefault="00B74680" w:rsidP="00B74680">
      <w:pPr>
        <w:spacing w:line="360" w:lineRule="auto"/>
        <w:rPr>
          <w:rFonts w:ascii="Cambria Math" w:hAnsi="Cambria Math" w:cs="Arial"/>
          <w:sz w:val="24"/>
          <w:szCs w:val="24"/>
          <w:vertAlign w:val="superscript"/>
        </w:rPr>
      </w:pPr>
      <w:r w:rsidRPr="007C7E08">
        <w:rPr>
          <w:rFonts w:ascii="Cambria Math" w:hAnsi="Cambria Math" w:cs="Arial"/>
          <w:sz w:val="24"/>
          <w:szCs w:val="24"/>
        </w:rPr>
        <w:t>Agustia Sukri Ekadamayanti, Hendra Zufry, Krishna W Sucipto</w:t>
      </w:r>
    </w:p>
    <w:p w:rsidR="00B74680" w:rsidRDefault="00B74680" w:rsidP="00B74680">
      <w:pPr>
        <w:pStyle w:val="ListParagraph"/>
        <w:spacing w:line="360" w:lineRule="auto"/>
        <w:ind w:left="0"/>
        <w:jc w:val="both"/>
        <w:rPr>
          <w:rFonts w:ascii="Cambria Math" w:hAnsi="Cambria Math" w:cs="Arial"/>
          <w:sz w:val="20"/>
          <w:szCs w:val="24"/>
        </w:rPr>
      </w:pPr>
      <w:r w:rsidRPr="001A30A3">
        <w:rPr>
          <w:rFonts w:ascii="Cambria Math" w:hAnsi="Cambria Math" w:cs="Arial"/>
          <w:sz w:val="20"/>
          <w:szCs w:val="24"/>
        </w:rPr>
        <w:t>Divisi Endokrin Metabolik</w:t>
      </w:r>
      <w:r>
        <w:rPr>
          <w:rFonts w:ascii="Cambria Math" w:hAnsi="Cambria Math" w:cs="Arial"/>
          <w:sz w:val="20"/>
          <w:szCs w:val="24"/>
        </w:rPr>
        <w:t xml:space="preserve"> &amp; </w:t>
      </w:r>
      <w:r w:rsidRPr="001A30A3">
        <w:rPr>
          <w:rFonts w:ascii="Cambria Math" w:hAnsi="Cambria Math" w:cs="Arial"/>
          <w:sz w:val="20"/>
          <w:szCs w:val="24"/>
        </w:rPr>
        <w:t>Diabetes</w:t>
      </w:r>
      <w:r>
        <w:rPr>
          <w:rFonts w:ascii="Cambria Math" w:hAnsi="Cambria Math" w:cs="Arial"/>
          <w:sz w:val="20"/>
          <w:szCs w:val="24"/>
        </w:rPr>
        <w:t xml:space="preserve"> Bagian/SMF Ilmu Penyakit Dalam </w:t>
      </w:r>
      <w:r w:rsidRPr="001A30A3">
        <w:rPr>
          <w:rFonts w:ascii="Cambria Math" w:hAnsi="Cambria Math" w:cs="Arial"/>
          <w:sz w:val="20"/>
          <w:szCs w:val="24"/>
        </w:rPr>
        <w:t>Fakultas Kedokteran Universitas Syiah Kuala-RSU Pendidikan dr. Zainoel Abidin Banda Aceh-Indonesia</w:t>
      </w:r>
    </w:p>
    <w:p w:rsidR="00B74680" w:rsidRDefault="00B74680" w:rsidP="00B74680">
      <w:pPr>
        <w:pStyle w:val="ListParagraph"/>
        <w:spacing w:line="360" w:lineRule="auto"/>
        <w:jc w:val="both"/>
        <w:rPr>
          <w:rFonts w:ascii="Cambria Math" w:hAnsi="Cambria Math" w:cs="Arial"/>
          <w:sz w:val="20"/>
          <w:szCs w:val="24"/>
        </w:rPr>
      </w:pPr>
    </w:p>
    <w:p w:rsidR="00B74680" w:rsidRDefault="00B74680" w:rsidP="00B74680">
      <w:pPr>
        <w:pStyle w:val="ListParagraph"/>
        <w:spacing w:line="360" w:lineRule="auto"/>
        <w:ind w:hanging="720"/>
        <w:jc w:val="both"/>
        <w:rPr>
          <w:rFonts w:ascii="Cambria Math" w:hAnsi="Cambria Math" w:cs="Arial"/>
          <w:sz w:val="20"/>
          <w:szCs w:val="24"/>
        </w:rPr>
      </w:pPr>
      <w:r>
        <w:rPr>
          <w:rFonts w:ascii="Cambria Math" w:hAnsi="Cambria Math" w:cs="Arial"/>
          <w:sz w:val="20"/>
          <w:szCs w:val="24"/>
        </w:rPr>
        <w:t>Korespondensi :</w:t>
      </w:r>
    </w:p>
    <w:p w:rsidR="00B74680" w:rsidRDefault="00B74680" w:rsidP="00B74680">
      <w:pPr>
        <w:pStyle w:val="ListParagraph"/>
        <w:spacing w:line="360" w:lineRule="auto"/>
        <w:ind w:left="0"/>
        <w:jc w:val="both"/>
        <w:rPr>
          <w:rFonts w:ascii="Cambria Math" w:hAnsi="Cambria Math" w:cs="Arial"/>
          <w:sz w:val="20"/>
          <w:szCs w:val="24"/>
        </w:rPr>
      </w:pPr>
      <w:r>
        <w:rPr>
          <w:rFonts w:ascii="Cambria Math" w:hAnsi="Cambria Math" w:cs="Arial"/>
          <w:sz w:val="20"/>
          <w:szCs w:val="24"/>
        </w:rPr>
        <w:t>Agustia Sukri Ekadamayanti, dr, Sp.PD.</w:t>
      </w:r>
      <w:r w:rsidRPr="00B74680">
        <w:rPr>
          <w:rFonts w:ascii="Cambria Math" w:hAnsi="Cambria Math" w:cs="Arial"/>
          <w:sz w:val="20"/>
          <w:szCs w:val="24"/>
        </w:rPr>
        <w:t xml:space="preserve"> </w:t>
      </w:r>
      <w:r w:rsidRPr="001A30A3">
        <w:rPr>
          <w:rFonts w:ascii="Cambria Math" w:hAnsi="Cambria Math" w:cs="Arial"/>
          <w:sz w:val="20"/>
          <w:szCs w:val="24"/>
        </w:rPr>
        <w:t>Divisi Endokrin Metabolik</w:t>
      </w:r>
      <w:r>
        <w:rPr>
          <w:rFonts w:ascii="Cambria Math" w:hAnsi="Cambria Math" w:cs="Arial"/>
          <w:sz w:val="20"/>
          <w:szCs w:val="24"/>
        </w:rPr>
        <w:t xml:space="preserve"> &amp; </w:t>
      </w:r>
      <w:r w:rsidRPr="001A30A3">
        <w:rPr>
          <w:rFonts w:ascii="Cambria Math" w:hAnsi="Cambria Math" w:cs="Arial"/>
          <w:sz w:val="20"/>
          <w:szCs w:val="24"/>
        </w:rPr>
        <w:t>Diabetes</w:t>
      </w:r>
      <w:r>
        <w:rPr>
          <w:rFonts w:ascii="Cambria Math" w:hAnsi="Cambria Math" w:cs="Arial"/>
          <w:sz w:val="20"/>
          <w:szCs w:val="24"/>
        </w:rPr>
        <w:t xml:space="preserve"> Bagian/SMF Ilmu Penyakit Dalam </w:t>
      </w:r>
      <w:r w:rsidRPr="001A30A3">
        <w:rPr>
          <w:rFonts w:ascii="Cambria Math" w:hAnsi="Cambria Math" w:cs="Arial"/>
          <w:sz w:val="20"/>
          <w:szCs w:val="24"/>
        </w:rPr>
        <w:t>Fakultas Kedokteran Universitas Syiah Kuala-RSU Pendidikan dr. Zainoel Abidin</w:t>
      </w:r>
      <w:r>
        <w:rPr>
          <w:rFonts w:ascii="Cambria Math" w:hAnsi="Cambria Math" w:cs="Arial"/>
          <w:sz w:val="20"/>
          <w:szCs w:val="24"/>
        </w:rPr>
        <w:t xml:space="preserve">, Banda Aceh, </w:t>
      </w:r>
      <w:r w:rsidRPr="001A30A3">
        <w:rPr>
          <w:rFonts w:ascii="Cambria Math" w:hAnsi="Cambria Math" w:cs="Arial"/>
          <w:sz w:val="20"/>
          <w:szCs w:val="24"/>
        </w:rPr>
        <w:t>Indonesia</w:t>
      </w:r>
      <w:r>
        <w:rPr>
          <w:rFonts w:ascii="Cambria Math" w:hAnsi="Cambria Math" w:cs="Arial"/>
          <w:sz w:val="20"/>
          <w:szCs w:val="24"/>
        </w:rPr>
        <w:t>. Jl. Teuku Moh. Daud Beureueh No.108, Banda Aceh 24415, Indonesia. email : agustiasukri@gmail.com.</w:t>
      </w:r>
    </w:p>
    <w:p w:rsidR="00B74680" w:rsidRDefault="00B74680" w:rsidP="00B74680">
      <w:pPr>
        <w:pStyle w:val="ListParagraph"/>
        <w:spacing w:line="360" w:lineRule="auto"/>
        <w:ind w:left="0"/>
        <w:jc w:val="both"/>
        <w:rPr>
          <w:rFonts w:ascii="Cambria Math" w:hAnsi="Cambria Math" w:cs="Arial"/>
          <w:sz w:val="20"/>
          <w:szCs w:val="24"/>
        </w:rPr>
      </w:pPr>
      <w:r>
        <w:rPr>
          <w:rFonts w:ascii="Cambria Math" w:hAnsi="Cambria Math" w:cs="Arial"/>
          <w:sz w:val="20"/>
          <w:szCs w:val="24"/>
        </w:rPr>
        <w:t xml:space="preserve">  </w:t>
      </w:r>
    </w:p>
    <w:p w:rsidR="00B74680" w:rsidRDefault="00B74680" w:rsidP="00B74680">
      <w:pPr>
        <w:pStyle w:val="ListParagraph"/>
        <w:spacing w:line="360" w:lineRule="auto"/>
        <w:ind w:left="0"/>
        <w:jc w:val="both"/>
        <w:rPr>
          <w:rFonts w:ascii="Cambria Math" w:hAnsi="Cambria Math" w:cs="Arial"/>
          <w:b/>
          <w:sz w:val="24"/>
          <w:szCs w:val="24"/>
        </w:rPr>
      </w:pPr>
      <w:r w:rsidRPr="00B74680">
        <w:rPr>
          <w:rFonts w:ascii="Cambria Math" w:hAnsi="Cambria Math" w:cs="Arial"/>
          <w:b/>
          <w:sz w:val="24"/>
          <w:szCs w:val="24"/>
        </w:rPr>
        <w:t>Abstrak</w:t>
      </w:r>
    </w:p>
    <w:p w:rsidR="00CA72AA" w:rsidRDefault="00B74680" w:rsidP="00CA72AA">
      <w:pPr>
        <w:pStyle w:val="ListParagraph"/>
        <w:spacing w:line="360" w:lineRule="auto"/>
        <w:ind w:left="0" w:firstLine="720"/>
        <w:jc w:val="both"/>
        <w:rPr>
          <w:rFonts w:ascii="Cambria Math" w:hAnsi="Cambria Math" w:cs="Arial"/>
          <w:sz w:val="24"/>
          <w:szCs w:val="24"/>
        </w:rPr>
      </w:pPr>
      <w:r w:rsidRPr="00B74680">
        <w:rPr>
          <w:rFonts w:ascii="Cambria Math" w:hAnsi="Cambria Math" w:cs="Arial"/>
          <w:sz w:val="24"/>
          <w:szCs w:val="24"/>
        </w:rPr>
        <w:t>Hiperparatiroid primer (HPTP) adalah kelainan yang ditandai dengan  hiperkalsemia dan peningkatan kadar hormon paratiroid (HPT).</w:t>
      </w:r>
      <w:r w:rsidR="009546FC">
        <w:rPr>
          <w:rFonts w:ascii="Cambria Math" w:hAnsi="Cambria Math" w:cs="Arial"/>
          <w:sz w:val="24"/>
          <w:szCs w:val="24"/>
        </w:rPr>
        <w:t xml:space="preserve"> Namun d</w:t>
      </w:r>
      <w:r w:rsidR="009546FC" w:rsidRPr="009546FC">
        <w:rPr>
          <w:rFonts w:ascii="Cambria Math" w:hAnsi="Cambria Math" w:cs="Arial"/>
          <w:sz w:val="24"/>
          <w:szCs w:val="24"/>
        </w:rPr>
        <w:t xml:space="preserve">alam sepuluh tahun terakhir, </w:t>
      </w:r>
      <w:r w:rsidR="009546FC">
        <w:rPr>
          <w:rFonts w:ascii="Cambria Math" w:hAnsi="Cambria Math" w:cs="Arial"/>
          <w:sz w:val="24"/>
          <w:szCs w:val="24"/>
        </w:rPr>
        <w:t xml:space="preserve">telah diperkenalkan </w:t>
      </w:r>
      <w:r w:rsidR="009546FC" w:rsidRPr="009546FC">
        <w:rPr>
          <w:rFonts w:ascii="Cambria Math" w:hAnsi="Cambria Math" w:cs="Arial"/>
          <w:sz w:val="24"/>
          <w:szCs w:val="24"/>
        </w:rPr>
        <w:t xml:space="preserve">presentasi baru </w:t>
      </w:r>
      <w:r w:rsidR="009546FC">
        <w:rPr>
          <w:rFonts w:ascii="Cambria Math" w:hAnsi="Cambria Math" w:cs="Arial"/>
          <w:sz w:val="24"/>
          <w:szCs w:val="24"/>
        </w:rPr>
        <w:t xml:space="preserve">dari </w:t>
      </w:r>
      <w:r w:rsidR="009546FC" w:rsidRPr="009546FC">
        <w:rPr>
          <w:rFonts w:ascii="Cambria Math" w:hAnsi="Cambria Math" w:cs="Arial"/>
          <w:sz w:val="24"/>
          <w:szCs w:val="24"/>
        </w:rPr>
        <w:t>hiperparatiroid</w:t>
      </w:r>
      <w:r w:rsidR="009546FC">
        <w:rPr>
          <w:rFonts w:ascii="Cambria Math" w:hAnsi="Cambria Math" w:cs="Arial"/>
          <w:sz w:val="24"/>
          <w:szCs w:val="24"/>
        </w:rPr>
        <w:t xml:space="preserve">isme primer di mana </w:t>
      </w:r>
      <w:r w:rsidR="009546FC" w:rsidRPr="009546FC">
        <w:rPr>
          <w:rFonts w:ascii="Cambria Math" w:hAnsi="Cambria Math" w:cs="Arial"/>
          <w:sz w:val="24"/>
          <w:szCs w:val="24"/>
        </w:rPr>
        <w:t>H</w:t>
      </w:r>
      <w:r w:rsidR="009546FC">
        <w:rPr>
          <w:rFonts w:ascii="Cambria Math" w:hAnsi="Cambria Math" w:cs="Arial"/>
          <w:sz w:val="24"/>
          <w:szCs w:val="24"/>
        </w:rPr>
        <w:t xml:space="preserve">PT meningkat tetapi kadar </w:t>
      </w:r>
      <w:r w:rsidR="009546FC" w:rsidRPr="009546FC">
        <w:rPr>
          <w:rFonts w:ascii="Cambria Math" w:hAnsi="Cambria Math" w:cs="Arial"/>
          <w:sz w:val="24"/>
          <w:szCs w:val="24"/>
        </w:rPr>
        <w:t>kalsium serum normal, tanpa adanya penyebab sekunder hiperparatiroidisme</w:t>
      </w:r>
      <w:r w:rsidR="009546FC">
        <w:rPr>
          <w:rFonts w:ascii="Cambria Math" w:hAnsi="Cambria Math" w:cs="Arial"/>
          <w:sz w:val="24"/>
          <w:szCs w:val="24"/>
        </w:rPr>
        <w:t>. Dalam laporan kasus ini disajikan kasus seorang laki-laki berumur 43 tahun dengan hiperparatiroidisme primer dan normokalsemia, dimana pada pasien ini tidak dijumpai adanya batu saluran kemih</w:t>
      </w:r>
      <w:r w:rsidR="00CA72AA">
        <w:rPr>
          <w:rFonts w:ascii="Cambria Math" w:hAnsi="Cambria Math" w:cs="Arial"/>
          <w:sz w:val="24"/>
          <w:szCs w:val="24"/>
        </w:rPr>
        <w:t xml:space="preserve"> seperti gejala klasik HPTP pada umumnya, tetapi terjadi osteoporosis.</w:t>
      </w:r>
    </w:p>
    <w:p w:rsidR="00563EAA" w:rsidRDefault="00563EAA" w:rsidP="00CA72AA">
      <w:pPr>
        <w:pStyle w:val="ListParagraph"/>
        <w:spacing w:line="360" w:lineRule="auto"/>
        <w:ind w:left="0" w:firstLine="720"/>
        <w:jc w:val="both"/>
        <w:rPr>
          <w:rFonts w:ascii="Cambria Math" w:hAnsi="Cambria Math" w:cs="Arial"/>
          <w:sz w:val="24"/>
          <w:szCs w:val="24"/>
        </w:rPr>
      </w:pPr>
    </w:p>
    <w:p w:rsidR="00563EAA" w:rsidRDefault="00563EAA" w:rsidP="00CA72AA">
      <w:pPr>
        <w:pStyle w:val="ListParagraph"/>
        <w:spacing w:line="360" w:lineRule="auto"/>
        <w:ind w:left="0" w:firstLine="720"/>
        <w:jc w:val="both"/>
        <w:rPr>
          <w:rFonts w:ascii="Cambria Math" w:hAnsi="Cambria Math" w:cs="Arial"/>
          <w:sz w:val="24"/>
          <w:szCs w:val="24"/>
        </w:rPr>
      </w:pPr>
      <w:r w:rsidRPr="00563EAA">
        <w:rPr>
          <w:rFonts w:ascii="Cambria Math" w:hAnsi="Cambria Math" w:cs="Arial"/>
          <w:b/>
          <w:sz w:val="24"/>
          <w:szCs w:val="24"/>
        </w:rPr>
        <w:t>Kata kunci</w:t>
      </w:r>
      <w:r>
        <w:rPr>
          <w:rFonts w:ascii="Cambria Math" w:hAnsi="Cambria Math" w:cs="Arial"/>
          <w:sz w:val="24"/>
          <w:szCs w:val="24"/>
        </w:rPr>
        <w:t xml:space="preserve"> : hiperparatiroidisme primer, normokalsemia, osteoporosis</w:t>
      </w:r>
    </w:p>
    <w:p w:rsidR="003206EF" w:rsidRDefault="003206EF" w:rsidP="00CA72AA">
      <w:pPr>
        <w:spacing w:line="360" w:lineRule="auto"/>
        <w:jc w:val="both"/>
        <w:rPr>
          <w:rFonts w:ascii="Cambria Math" w:hAnsi="Cambria Math" w:cs="Arial"/>
          <w:b/>
          <w:sz w:val="24"/>
          <w:szCs w:val="24"/>
        </w:rPr>
      </w:pPr>
    </w:p>
    <w:p w:rsidR="00B74680" w:rsidRPr="00CA72AA" w:rsidRDefault="00B74680" w:rsidP="00CA72AA">
      <w:pPr>
        <w:spacing w:line="360" w:lineRule="auto"/>
        <w:jc w:val="both"/>
        <w:rPr>
          <w:rFonts w:ascii="Cambria Math" w:hAnsi="Cambria Math" w:cs="Arial"/>
          <w:sz w:val="24"/>
          <w:szCs w:val="24"/>
        </w:rPr>
      </w:pPr>
      <w:r w:rsidRPr="00CA72AA">
        <w:rPr>
          <w:rFonts w:ascii="Cambria Math" w:hAnsi="Cambria Math" w:cs="Arial"/>
          <w:b/>
          <w:sz w:val="24"/>
          <w:szCs w:val="24"/>
        </w:rPr>
        <w:t>Latar Belakang</w:t>
      </w:r>
    </w:p>
    <w:p w:rsidR="00B74680" w:rsidRPr="00BA53A0" w:rsidRDefault="00B74680" w:rsidP="00B74680">
      <w:pPr>
        <w:spacing w:line="360" w:lineRule="auto"/>
        <w:ind w:firstLine="720"/>
        <w:jc w:val="both"/>
        <w:rPr>
          <w:rFonts w:ascii="Cambria Math" w:hAnsi="Cambria Math" w:cs="Arial"/>
          <w:sz w:val="24"/>
          <w:szCs w:val="24"/>
          <w:vertAlign w:val="superscript"/>
        </w:rPr>
      </w:pPr>
      <w:r>
        <w:rPr>
          <w:rFonts w:ascii="Cambria Math" w:hAnsi="Cambria Math" w:cs="Arial"/>
          <w:sz w:val="24"/>
          <w:szCs w:val="24"/>
        </w:rPr>
        <w:t>Hiperparatiroid</w:t>
      </w:r>
      <w:r w:rsidRPr="007C7E08">
        <w:rPr>
          <w:rFonts w:ascii="Cambria Math" w:hAnsi="Cambria Math" w:cs="Arial"/>
          <w:sz w:val="24"/>
          <w:szCs w:val="24"/>
        </w:rPr>
        <w:t xml:space="preserve"> primer (HPTP) adalah kelainan yang ditandai dengan  hiperkalsemia dan peningkatan kadar hormon paratiroid (HPT). HPTP ini adalah salah satu gangguan endokrin yang paling umum terjadi dengan perkiraan prevalensi di Amerika Serikat antara 0,1 dan 0,5%. HPTP klasik paling sering datang dengan keluhan simptomatik, yaitu osteoporosis dan batu saluran kemih. Namun, dengan pemeriksaan kadar kalsium serum yang dilakukan secara rutin sebagai pemeriksaan skrining biokimia, profil klinis </w:t>
      </w:r>
      <w:r w:rsidRPr="007C7E08">
        <w:rPr>
          <w:rFonts w:ascii="Cambria Math" w:hAnsi="Cambria Math" w:cs="Arial"/>
          <w:sz w:val="24"/>
          <w:szCs w:val="24"/>
        </w:rPr>
        <w:lastRenderedPageBreak/>
        <w:t>hiperparatiroidisme primer telah berevolusi menjadi kelainan yang biasanya muncul tanpa gejala yang jelas.</w:t>
      </w:r>
      <w:r>
        <w:rPr>
          <w:rFonts w:ascii="Cambria Math" w:hAnsi="Cambria Math" w:cs="Arial"/>
          <w:sz w:val="24"/>
          <w:szCs w:val="24"/>
          <w:vertAlign w:val="superscript"/>
        </w:rPr>
        <w:t>(1)</w:t>
      </w:r>
    </w:p>
    <w:p w:rsidR="00B74680" w:rsidRPr="00BA53A0" w:rsidRDefault="00B74680" w:rsidP="00B74680">
      <w:pPr>
        <w:spacing w:line="360" w:lineRule="auto"/>
        <w:ind w:firstLine="720"/>
        <w:jc w:val="both"/>
        <w:rPr>
          <w:rFonts w:ascii="Cambria Math" w:hAnsi="Cambria Math" w:cs="Arial"/>
          <w:sz w:val="24"/>
          <w:szCs w:val="24"/>
          <w:vertAlign w:val="superscript"/>
        </w:rPr>
      </w:pPr>
      <w:r w:rsidRPr="007C7E08">
        <w:rPr>
          <w:rFonts w:ascii="Cambria Math" w:hAnsi="Cambria Math" w:cs="Arial"/>
          <w:sz w:val="24"/>
          <w:szCs w:val="24"/>
        </w:rPr>
        <w:t>Dalam sepuluh tahun terakhir, presentasi baru hiperparatiroidisme primer telah diperkenalkan, di mana PTH meningkat tetapi kadar  kalsium serum normal, tanpa adanya penyebab sekunder hiperparatiroidisme, seperti penyakit ginjal atau kekurangan vitamin D. Kenapa dapat terjadi hiperparatiroidisme dengan normokalsemia masih belum dapat dijelaskan sepenuhnya, terutama mengenai epidemiologinya, sejarah perkembang</w:t>
      </w:r>
      <w:r>
        <w:rPr>
          <w:rFonts w:ascii="Cambria Math" w:hAnsi="Cambria Math" w:cs="Arial"/>
          <w:sz w:val="24"/>
          <w:szCs w:val="24"/>
        </w:rPr>
        <w:t>annya, serta penatalaksanaannya.</w:t>
      </w:r>
      <w:r>
        <w:rPr>
          <w:rFonts w:ascii="Cambria Math" w:hAnsi="Cambria Math" w:cs="Arial"/>
          <w:sz w:val="24"/>
          <w:szCs w:val="24"/>
          <w:vertAlign w:val="superscript"/>
        </w:rPr>
        <w:t>(1)</w:t>
      </w:r>
    </w:p>
    <w:p w:rsidR="00B74680" w:rsidRPr="007C7E08" w:rsidRDefault="00B74680" w:rsidP="00B74680">
      <w:pPr>
        <w:spacing w:line="360" w:lineRule="auto"/>
        <w:ind w:firstLine="720"/>
        <w:jc w:val="both"/>
        <w:rPr>
          <w:rFonts w:ascii="Cambria Math" w:hAnsi="Cambria Math" w:cs="Arial"/>
          <w:sz w:val="24"/>
          <w:szCs w:val="24"/>
        </w:rPr>
      </w:pPr>
      <w:r w:rsidRPr="007C7E08">
        <w:rPr>
          <w:rFonts w:ascii="Cambria Math" w:hAnsi="Cambria Math" w:cs="Arial"/>
          <w:sz w:val="24"/>
          <w:szCs w:val="24"/>
        </w:rPr>
        <w:t xml:space="preserve">Dalam laporan kasus ini kami akan melaporkan seorang pasien dengan hiperparathiroidisme primer dengan normokalsemia. </w:t>
      </w:r>
    </w:p>
    <w:p w:rsidR="00B74680" w:rsidRPr="00EF6A42" w:rsidRDefault="00B74680" w:rsidP="00B74680">
      <w:pPr>
        <w:spacing w:line="360" w:lineRule="auto"/>
        <w:jc w:val="both"/>
        <w:rPr>
          <w:rFonts w:ascii="Cambria Math" w:hAnsi="Cambria Math" w:cs="Arial"/>
          <w:b/>
          <w:sz w:val="24"/>
          <w:szCs w:val="24"/>
        </w:rPr>
      </w:pPr>
      <w:r w:rsidRPr="00EF6A42">
        <w:rPr>
          <w:rFonts w:ascii="Cambria Math" w:hAnsi="Cambria Math" w:cs="Arial"/>
          <w:b/>
          <w:sz w:val="24"/>
          <w:szCs w:val="24"/>
        </w:rPr>
        <w:t>Laporan Kasus</w:t>
      </w:r>
    </w:p>
    <w:p w:rsidR="00B74680" w:rsidRPr="007C7E08" w:rsidRDefault="00B74680" w:rsidP="00B74680">
      <w:pPr>
        <w:spacing w:line="360" w:lineRule="auto"/>
        <w:ind w:firstLine="720"/>
        <w:jc w:val="both"/>
        <w:rPr>
          <w:rFonts w:ascii="Cambria Math" w:hAnsi="Cambria Math" w:cs="Arial"/>
          <w:sz w:val="24"/>
          <w:szCs w:val="24"/>
        </w:rPr>
      </w:pPr>
      <w:r w:rsidRPr="007C7E08">
        <w:rPr>
          <w:rFonts w:ascii="Cambria Math" w:hAnsi="Cambria Math" w:cs="Arial"/>
          <w:sz w:val="24"/>
          <w:szCs w:val="24"/>
        </w:rPr>
        <w:t>Seorang laki-laki, Tn.M, 43 tahun</w:t>
      </w:r>
      <w:r>
        <w:rPr>
          <w:rFonts w:ascii="Cambria Math" w:hAnsi="Cambria Math" w:cs="Arial"/>
          <w:sz w:val="24"/>
          <w:szCs w:val="24"/>
        </w:rPr>
        <w:t>, petani</w:t>
      </w:r>
      <w:r w:rsidRPr="007C7E08">
        <w:rPr>
          <w:rFonts w:ascii="Cambria Math" w:hAnsi="Cambria Math" w:cs="Arial"/>
          <w:sz w:val="24"/>
          <w:szCs w:val="24"/>
        </w:rPr>
        <w:t xml:space="preserve"> datang ke poliklinik endokrin RSU. Pendidikan dr. Zainoel Abidin Banda Aceh dengan keluhan utama nyeri punggung. Nyeri bersifat hilang timbul, menjalar hingga ke pinggang dan kedua paha, semakin bertambah nyeri jika berjalan. Nyeri sudah dialami selama 2 tahun namun semakin memberat dalam 4 bulan terakhir. Pasien tidak pernah berobat ke dokter sebelumnya untuk keluhan ini. Pasien tidak gemuk. Pasien tidak memiliki riwayat trauma. Pasien juga tidak mengeluhkan nyeri saat berkemih atau keluar batu/pasir saat berkemih. Pasien adalah seorang petani.</w:t>
      </w:r>
    </w:p>
    <w:p w:rsidR="00B74680" w:rsidRDefault="00B74680" w:rsidP="00B74680">
      <w:pPr>
        <w:spacing w:line="360" w:lineRule="auto"/>
        <w:jc w:val="both"/>
        <w:rPr>
          <w:rFonts w:ascii="Cambria Math" w:hAnsi="Cambria Math" w:cs="Arial"/>
          <w:sz w:val="24"/>
          <w:szCs w:val="24"/>
        </w:rPr>
      </w:pPr>
      <w:r w:rsidRPr="007C7E08">
        <w:rPr>
          <w:rFonts w:ascii="Cambria Math" w:hAnsi="Cambria Math" w:cs="Arial"/>
          <w:sz w:val="24"/>
          <w:szCs w:val="24"/>
        </w:rPr>
        <w:tab/>
        <w:t xml:space="preserve">Atas dasar keluhan tersebut, terhadap pasien kami lakukan pemeriksaan radiologi foto lumbosacral. Hasilnya didapatkan adanya kollaps pada vertebrae lumbalis 4-5, tidak tampak adanya destruksi/erosi dan tidak tampak fraktur. Setelah itu kami melakukan pemeriksaan radiologi kembali, untuk mencari apakah terdapat kelainan tulang di tempat yang lain, hasil yang didapatkan adalah bahwa pada foto pelvis, femur, cruris, humerus dan schedel tidak didapatkan kelainan. </w:t>
      </w:r>
    </w:p>
    <w:p w:rsidR="00B74680" w:rsidRDefault="00B74680" w:rsidP="00B74680">
      <w:p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hAnsi="Cambria Math" w:cs="Arial"/>
          <w:sz w:val="24"/>
          <w:szCs w:val="24"/>
        </w:rPr>
        <w:tab/>
        <w:t xml:space="preserve">Kemudian kami melakukan pemeriksaan </w:t>
      </w:r>
      <w:r>
        <w:rPr>
          <w:rFonts w:ascii="Cambria Math" w:hAnsi="Cambria Math" w:cs="Arial"/>
          <w:i/>
          <w:sz w:val="24"/>
          <w:szCs w:val="24"/>
        </w:rPr>
        <w:t>Bone Mineral Density</w:t>
      </w:r>
      <w:r>
        <w:rPr>
          <w:rFonts w:ascii="Cambria Math" w:hAnsi="Cambria Math" w:cs="Arial"/>
          <w:sz w:val="24"/>
          <w:szCs w:val="24"/>
        </w:rPr>
        <w:t xml:space="preserve"> (BMD), didapatkan nilai </w:t>
      </w:r>
      <w:r w:rsidRPr="00D71286">
        <w:rPr>
          <w:rFonts w:ascii="Cambria Math" w:hAnsi="Cambria Math" w:cs="Arial"/>
          <w:i/>
          <w:sz w:val="24"/>
          <w:szCs w:val="24"/>
        </w:rPr>
        <w:t>T-score</w:t>
      </w:r>
      <w:r>
        <w:rPr>
          <w:rFonts w:ascii="Cambria Math" w:hAnsi="Cambria Math" w:cs="Arial"/>
          <w:sz w:val="24"/>
          <w:szCs w:val="24"/>
        </w:rPr>
        <w:t xml:space="preserve"> -4,2 (osteoporosis). Kemudian kami melakukan pemeriksaan kadar hormon parathyroid, hasilnya adalah </w:t>
      </w:r>
      <w:r w:rsidRPr="007C7E08">
        <w:rPr>
          <w:rFonts w:ascii="Cambria Math" w:eastAsia="Calibri" w:hAnsi="Cambria Math" w:cs="Arial"/>
          <w:sz w:val="24"/>
          <w:szCs w:val="24"/>
          <w:lang w:val="id-ID" w:eastAsia="id-ID"/>
        </w:rPr>
        <w:t>106,3 (15 – 65 pg/mL).</w:t>
      </w:r>
      <w:r>
        <w:rPr>
          <w:rFonts w:ascii="Cambria Math" w:eastAsia="Calibri" w:hAnsi="Cambria Math" w:cs="Arial"/>
          <w:sz w:val="24"/>
          <w:szCs w:val="24"/>
          <w:lang w:eastAsia="id-ID"/>
        </w:rPr>
        <w:t xml:space="preserve"> Kadar kalsium </w:t>
      </w:r>
      <w:r w:rsidRPr="007C7E08">
        <w:rPr>
          <w:rFonts w:ascii="Cambria Math" w:eastAsia="Calibri" w:hAnsi="Cambria Math" w:cs="Arial"/>
          <w:sz w:val="24"/>
          <w:szCs w:val="24"/>
          <w:lang w:val="id-ID" w:eastAsia="id-ID"/>
        </w:rPr>
        <w:t>9,8 (8,3 – 10,6 mg/dL)</w:t>
      </w:r>
      <w:r>
        <w:rPr>
          <w:rFonts w:ascii="Cambria Math" w:eastAsia="Calibri" w:hAnsi="Cambria Math" w:cs="Arial"/>
          <w:sz w:val="24"/>
          <w:szCs w:val="24"/>
          <w:lang w:eastAsia="id-ID"/>
        </w:rPr>
        <w:t>.  Albumin 3,3 g/dL (3,5 – 5,2 g/dL). Serum vitamin D 16,2  (30 – 100 ng/mL).</w:t>
      </w:r>
      <w:r w:rsidRPr="00D71286">
        <w:rPr>
          <w:rFonts w:ascii="Cambria Math" w:eastAsia="Calibri" w:hAnsi="Cambria Math" w:cs="Arial"/>
          <w:sz w:val="24"/>
          <w:szCs w:val="24"/>
          <w:lang w:val="id-ID" w:eastAsia="id-ID"/>
        </w:rPr>
        <w:t xml:space="preserve"> </w:t>
      </w:r>
      <w:r>
        <w:rPr>
          <w:rFonts w:ascii="Cambria Math" w:eastAsia="Calibri" w:hAnsi="Cambria Math" w:cs="Arial"/>
          <w:sz w:val="24"/>
          <w:szCs w:val="24"/>
          <w:lang w:eastAsia="id-ID"/>
        </w:rPr>
        <w:t xml:space="preserve">Pemeriksaan </w:t>
      </w:r>
      <w:r>
        <w:rPr>
          <w:rFonts w:ascii="Cambria Math" w:eastAsia="Calibri" w:hAnsi="Cambria Math" w:cs="Arial"/>
          <w:sz w:val="24"/>
          <w:szCs w:val="24"/>
          <w:lang w:eastAsia="id-ID"/>
        </w:rPr>
        <w:lastRenderedPageBreak/>
        <w:t xml:space="preserve">fungsi ginjal untuk ureum adalah </w:t>
      </w:r>
      <w:r w:rsidRPr="007C7E08">
        <w:rPr>
          <w:rFonts w:ascii="Cambria Math" w:eastAsia="Calibri" w:hAnsi="Cambria Math" w:cs="Arial"/>
          <w:sz w:val="24"/>
          <w:szCs w:val="24"/>
          <w:lang w:val="id-ID" w:eastAsia="id-ID"/>
        </w:rPr>
        <w:t xml:space="preserve">28 (13 </w:t>
      </w:r>
      <w:r>
        <w:rPr>
          <w:rFonts w:ascii="Cambria Math" w:eastAsia="Calibri" w:hAnsi="Cambria Math" w:cs="Arial"/>
          <w:sz w:val="24"/>
          <w:szCs w:val="24"/>
          <w:lang w:val="id-ID" w:eastAsia="id-ID"/>
        </w:rPr>
        <w:t xml:space="preserve">– 43 mg/dL), creatinin </w:t>
      </w:r>
      <w:r w:rsidRPr="007C7E08">
        <w:rPr>
          <w:rFonts w:ascii="Cambria Math" w:eastAsia="Calibri" w:hAnsi="Cambria Math" w:cs="Arial"/>
          <w:sz w:val="24"/>
          <w:szCs w:val="24"/>
          <w:lang w:val="id-ID" w:eastAsia="id-ID"/>
        </w:rPr>
        <w:t xml:space="preserve">0,63 (0,70 – 1,20 mg/dL) </w:t>
      </w:r>
      <w:r>
        <w:rPr>
          <w:rFonts w:ascii="Cambria Math" w:eastAsia="Calibri" w:hAnsi="Cambria Math" w:cs="Arial"/>
          <w:sz w:val="24"/>
          <w:szCs w:val="24"/>
          <w:lang w:eastAsia="id-ID"/>
        </w:rPr>
        <w:t xml:space="preserve">dengan laju filtrasi glomerulus adalah </w:t>
      </w:r>
      <w:r w:rsidRPr="007C7E08">
        <w:rPr>
          <w:rFonts w:ascii="Cambria Math" w:eastAsia="Calibri" w:hAnsi="Cambria Math" w:cs="Arial"/>
          <w:sz w:val="24"/>
          <w:szCs w:val="24"/>
          <w:lang w:val="id-ID" w:eastAsia="id-ID"/>
        </w:rPr>
        <w:t xml:space="preserve">121. </w:t>
      </w:r>
    </w:p>
    <w:p w:rsidR="00B74680" w:rsidRDefault="00B74680" w:rsidP="00B74680">
      <w:pPr>
        <w:autoSpaceDE w:val="0"/>
        <w:autoSpaceDN w:val="0"/>
        <w:adjustRightInd w:val="0"/>
        <w:spacing w:after="0" w:line="360" w:lineRule="auto"/>
        <w:jc w:val="both"/>
        <w:rPr>
          <w:rFonts w:ascii="Cambria Math" w:eastAsia="Calibri" w:hAnsi="Cambria Math" w:cs="Arial"/>
          <w:noProof/>
          <w:sz w:val="24"/>
          <w:szCs w:val="24"/>
        </w:rPr>
      </w:pPr>
      <w:r>
        <w:rPr>
          <w:rFonts w:ascii="Cambria Math" w:eastAsia="Calibri" w:hAnsi="Cambria Math" w:cs="Arial"/>
          <w:sz w:val="24"/>
          <w:szCs w:val="24"/>
          <w:lang w:eastAsia="id-ID"/>
        </w:rPr>
        <w:tab/>
        <w:t>Kami mendiagnosa pasien ini dengan hiperparatiroidisme primer dengan normokalsemia dan osteoporosis.</w:t>
      </w:r>
      <w:r w:rsidRPr="002C4C74">
        <w:rPr>
          <w:rFonts w:ascii="Cambria Math" w:eastAsia="Calibri" w:hAnsi="Cambria Math" w:cs="Arial"/>
          <w:noProof/>
          <w:sz w:val="24"/>
          <w:szCs w:val="24"/>
        </w:rPr>
        <w:t xml:space="preserve"> </w:t>
      </w:r>
    </w:p>
    <w:p w:rsidR="003206EF" w:rsidRDefault="003206EF" w:rsidP="00B74680">
      <w:pPr>
        <w:autoSpaceDE w:val="0"/>
        <w:autoSpaceDN w:val="0"/>
        <w:adjustRightInd w:val="0"/>
        <w:spacing w:after="0" w:line="360" w:lineRule="auto"/>
        <w:jc w:val="both"/>
        <w:rPr>
          <w:rFonts w:ascii="Cambria Math" w:eastAsia="Calibri" w:hAnsi="Cambria Math" w:cs="Arial"/>
          <w:noProof/>
          <w:sz w:val="24"/>
          <w:szCs w:val="24"/>
        </w:rPr>
      </w:pPr>
    </w:p>
    <w:p w:rsidR="003206EF" w:rsidRDefault="003206EF" w:rsidP="00B74680">
      <w:pPr>
        <w:autoSpaceDE w:val="0"/>
        <w:autoSpaceDN w:val="0"/>
        <w:adjustRightInd w:val="0"/>
        <w:spacing w:after="0" w:line="360" w:lineRule="auto"/>
        <w:jc w:val="both"/>
        <w:rPr>
          <w:rFonts w:ascii="Cambria Math" w:eastAsia="Calibri" w:hAnsi="Cambria Math" w:cs="Arial"/>
          <w:noProof/>
          <w:sz w:val="24"/>
          <w:szCs w:val="24"/>
        </w:rPr>
      </w:pPr>
    </w:p>
    <w:p w:rsidR="00B74680" w:rsidRDefault="00B74680" w:rsidP="00B74680">
      <w:p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noProof/>
          <w:sz w:val="24"/>
          <w:szCs w:val="24"/>
        </w:rPr>
        <w:drawing>
          <wp:inline distT="0" distB="0" distL="0" distR="0" wp14:anchorId="21E10AB4" wp14:editId="51645F6D">
            <wp:extent cx="3009900" cy="3390900"/>
            <wp:effectExtent l="0" t="0" r="0" b="0"/>
            <wp:docPr id="1" name="Picture 1" descr="C:\Users\ASUS\Downloads\WhatsApp Image 2019-03-17 at 12.02.2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19-03-17 at 12.02.26(1).jpeg"/>
                    <pic:cNvPicPr>
                      <a:picLocks noChangeAspect="1" noChangeArrowheads="1"/>
                    </pic:cNvPicPr>
                  </pic:nvPicPr>
                  <pic:blipFill rotWithShape="1">
                    <a:blip r:embed="rId7">
                      <a:extLst>
                        <a:ext uri="{28A0092B-C50C-407E-A947-70E740481C1C}">
                          <a14:useLocalDpi xmlns:a14="http://schemas.microsoft.com/office/drawing/2010/main" val="0"/>
                        </a:ext>
                      </a:extLst>
                    </a:blip>
                    <a:srcRect b="39182"/>
                    <a:stretch/>
                  </pic:blipFill>
                  <pic:spPr bwMode="auto">
                    <a:xfrm>
                      <a:off x="0" y="0"/>
                      <a:ext cx="3022784" cy="340541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Math" w:eastAsia="Calibri" w:hAnsi="Cambria Math" w:cs="Arial"/>
          <w:noProof/>
          <w:sz w:val="24"/>
          <w:szCs w:val="24"/>
        </w:rPr>
        <w:drawing>
          <wp:inline distT="0" distB="0" distL="0" distR="0" wp14:anchorId="12ADAFBE" wp14:editId="2C3BC904">
            <wp:extent cx="2828925" cy="3390900"/>
            <wp:effectExtent l="0" t="0" r="9525" b="0"/>
            <wp:docPr id="2" name="Picture 2" descr="C:\Users\ASUS\Downloads\WhatsApp Image 2019-03-17 at 12.02.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19-03-17 at 12.02.26.jpeg"/>
                    <pic:cNvPicPr>
                      <a:picLocks noChangeAspect="1" noChangeArrowheads="1"/>
                    </pic:cNvPicPr>
                  </pic:nvPicPr>
                  <pic:blipFill rotWithShape="1">
                    <a:blip r:embed="rId8">
                      <a:extLst>
                        <a:ext uri="{28A0092B-C50C-407E-A947-70E740481C1C}">
                          <a14:useLocalDpi xmlns:a14="http://schemas.microsoft.com/office/drawing/2010/main" val="0"/>
                        </a:ext>
                      </a:extLst>
                    </a:blip>
                    <a:srcRect b="44832"/>
                    <a:stretch/>
                  </pic:blipFill>
                  <pic:spPr bwMode="auto">
                    <a:xfrm>
                      <a:off x="0" y="0"/>
                      <a:ext cx="2828925" cy="3390900"/>
                    </a:xfrm>
                    <a:prstGeom prst="rect">
                      <a:avLst/>
                    </a:prstGeom>
                    <a:noFill/>
                    <a:ln>
                      <a:noFill/>
                    </a:ln>
                    <a:extLst>
                      <a:ext uri="{53640926-AAD7-44D8-BBD7-CCE9431645EC}">
                        <a14:shadowObscured xmlns:a14="http://schemas.microsoft.com/office/drawing/2010/main"/>
                      </a:ext>
                    </a:extLst>
                  </pic:spPr>
                </pic:pic>
              </a:graphicData>
            </a:graphic>
          </wp:inline>
        </w:drawing>
      </w:r>
    </w:p>
    <w:p w:rsidR="003206EF" w:rsidRDefault="00B74680" w:rsidP="00B74680">
      <w:pPr>
        <w:autoSpaceDE w:val="0"/>
        <w:autoSpaceDN w:val="0"/>
        <w:adjustRightInd w:val="0"/>
        <w:spacing w:after="0" w:line="360" w:lineRule="auto"/>
        <w:rPr>
          <w:rFonts w:ascii="Cambria Math" w:eastAsia="Calibri" w:hAnsi="Cambria Math" w:cs="Arial"/>
          <w:noProof/>
          <w:sz w:val="24"/>
          <w:szCs w:val="24"/>
        </w:rPr>
      </w:pPr>
      <w:r>
        <w:rPr>
          <w:rFonts w:ascii="Cambria Math" w:eastAsia="Calibri" w:hAnsi="Cambria Math" w:cs="Arial"/>
          <w:noProof/>
          <w:sz w:val="24"/>
          <w:szCs w:val="24"/>
        </w:rPr>
        <w:t xml:space="preserve">   </w:t>
      </w:r>
    </w:p>
    <w:p w:rsidR="003206EF" w:rsidRDefault="003206EF" w:rsidP="00B74680">
      <w:pPr>
        <w:autoSpaceDE w:val="0"/>
        <w:autoSpaceDN w:val="0"/>
        <w:adjustRightInd w:val="0"/>
        <w:spacing w:after="0" w:line="360" w:lineRule="auto"/>
        <w:rPr>
          <w:rFonts w:ascii="Cambria Math" w:eastAsia="Calibri" w:hAnsi="Cambria Math" w:cs="Arial"/>
          <w:noProof/>
          <w:sz w:val="24"/>
          <w:szCs w:val="24"/>
        </w:rPr>
      </w:pPr>
    </w:p>
    <w:p w:rsidR="00B74680" w:rsidRPr="00B86324" w:rsidRDefault="00B74680" w:rsidP="00B74680">
      <w:pPr>
        <w:autoSpaceDE w:val="0"/>
        <w:autoSpaceDN w:val="0"/>
        <w:adjustRightInd w:val="0"/>
        <w:spacing w:after="0" w:line="360" w:lineRule="auto"/>
        <w:rPr>
          <w:rFonts w:ascii="Cambria Math" w:eastAsia="Calibri" w:hAnsi="Cambria Math" w:cs="Arial"/>
          <w:sz w:val="24"/>
          <w:szCs w:val="24"/>
          <w:lang w:eastAsia="id-ID"/>
        </w:rPr>
      </w:pPr>
      <w:r>
        <w:rPr>
          <w:rFonts w:ascii="Cambria Math" w:eastAsia="Calibri" w:hAnsi="Cambria Math" w:cs="Arial"/>
          <w:noProof/>
          <w:sz w:val="24"/>
          <w:szCs w:val="24"/>
        </w:rPr>
        <w:t xml:space="preserve">  </w:t>
      </w:r>
      <w:r w:rsidRPr="00EF6A42">
        <w:rPr>
          <w:rFonts w:ascii="Cambria Math" w:eastAsia="Calibri" w:hAnsi="Cambria Math" w:cs="Arial"/>
          <w:b/>
          <w:sz w:val="24"/>
          <w:szCs w:val="24"/>
          <w:lang w:eastAsia="id-ID"/>
        </w:rPr>
        <w:t>Diskusi</w:t>
      </w:r>
      <w:r w:rsidRPr="00EF6A42">
        <w:rPr>
          <w:rFonts w:ascii="Cambria Math" w:eastAsia="Calibri" w:hAnsi="Cambria Math" w:cs="Arial"/>
          <w:b/>
          <w:sz w:val="24"/>
          <w:szCs w:val="24"/>
          <w:lang w:eastAsia="id-ID"/>
        </w:rPr>
        <w:tab/>
      </w: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t>Hiperparatiroid primer adalah (HPTP) adalah penyakit yang karakteristiknya adalah hiperkalsemia dan peningkatan kadar hormon paratiroid</w:t>
      </w:r>
      <w:r>
        <w:rPr>
          <w:rFonts w:ascii="Cambria Math" w:eastAsia="Calibri" w:hAnsi="Cambria Math" w:cs="Arial"/>
          <w:sz w:val="24"/>
          <w:szCs w:val="24"/>
          <w:vertAlign w:val="superscript"/>
          <w:lang w:eastAsia="id-ID"/>
        </w:rPr>
        <w:t>(2)</w:t>
      </w:r>
      <w:r>
        <w:rPr>
          <w:rFonts w:ascii="Cambria Math" w:eastAsia="Calibri" w:hAnsi="Cambria Math" w:cs="Arial"/>
          <w:sz w:val="24"/>
          <w:szCs w:val="24"/>
          <w:lang w:eastAsia="id-ID"/>
        </w:rPr>
        <w:t>. Pasien dengan hiperparatiroid dapat datang dengan gejala klinis dan dapat pula datang tanpa gejala, yang dapat dilihat pada tabel dibawah ini</w:t>
      </w:r>
      <w:r>
        <w:rPr>
          <w:rFonts w:ascii="Cambria Math" w:eastAsia="Calibri" w:hAnsi="Cambria Math" w:cs="Arial"/>
          <w:sz w:val="24"/>
          <w:szCs w:val="24"/>
          <w:vertAlign w:val="superscript"/>
          <w:lang w:eastAsia="id-ID"/>
        </w:rPr>
        <w:t>(3)</w:t>
      </w:r>
      <w:r>
        <w:rPr>
          <w:rFonts w:ascii="Cambria Math" w:eastAsia="Calibri" w:hAnsi="Cambria Math" w:cs="Arial"/>
          <w:sz w:val="24"/>
          <w:szCs w:val="24"/>
          <w:lang w:eastAsia="id-ID"/>
        </w:rPr>
        <w:t>.</w:t>
      </w:r>
    </w:p>
    <w:p w:rsidR="00B74680" w:rsidRDefault="00B74680" w:rsidP="00B74680">
      <w:pPr>
        <w:autoSpaceDE w:val="0"/>
        <w:autoSpaceDN w:val="0"/>
        <w:adjustRightInd w:val="0"/>
        <w:spacing w:after="0" w:line="360" w:lineRule="auto"/>
        <w:jc w:val="both"/>
        <w:rPr>
          <w:rFonts w:ascii="Cambria Math" w:eastAsia="Calibri" w:hAnsi="Cambria Math" w:cs="Arial"/>
          <w:sz w:val="24"/>
          <w:szCs w:val="24"/>
          <w:lang w:eastAsia="id-ID"/>
        </w:rPr>
      </w:pPr>
    </w:p>
    <w:p w:rsidR="003206EF" w:rsidRDefault="003206EF" w:rsidP="00B74680">
      <w:pPr>
        <w:autoSpaceDE w:val="0"/>
        <w:autoSpaceDN w:val="0"/>
        <w:adjustRightInd w:val="0"/>
        <w:spacing w:after="0" w:line="360" w:lineRule="auto"/>
        <w:jc w:val="both"/>
        <w:rPr>
          <w:rFonts w:ascii="Cambria Math" w:eastAsia="Calibri" w:hAnsi="Cambria Math" w:cs="Arial"/>
          <w:sz w:val="24"/>
          <w:szCs w:val="24"/>
          <w:lang w:eastAsia="id-ID"/>
        </w:rPr>
      </w:pPr>
    </w:p>
    <w:p w:rsidR="003206EF" w:rsidRDefault="003206EF" w:rsidP="00B74680">
      <w:pPr>
        <w:autoSpaceDE w:val="0"/>
        <w:autoSpaceDN w:val="0"/>
        <w:adjustRightInd w:val="0"/>
        <w:spacing w:after="0" w:line="360" w:lineRule="auto"/>
        <w:jc w:val="both"/>
        <w:rPr>
          <w:rFonts w:ascii="Cambria Math" w:eastAsia="Calibri" w:hAnsi="Cambria Math" w:cs="Arial"/>
          <w:sz w:val="24"/>
          <w:szCs w:val="24"/>
          <w:lang w:eastAsia="id-ID"/>
        </w:rPr>
      </w:pPr>
    </w:p>
    <w:p w:rsidR="003206EF" w:rsidRDefault="003206EF" w:rsidP="00B74680">
      <w:pPr>
        <w:autoSpaceDE w:val="0"/>
        <w:autoSpaceDN w:val="0"/>
        <w:adjustRightInd w:val="0"/>
        <w:spacing w:after="0" w:line="360" w:lineRule="auto"/>
        <w:jc w:val="both"/>
        <w:rPr>
          <w:rFonts w:ascii="Cambria Math" w:eastAsia="Calibri" w:hAnsi="Cambria Math" w:cs="Arial"/>
          <w:sz w:val="24"/>
          <w:szCs w:val="24"/>
          <w:lang w:eastAsia="id-ID"/>
        </w:rPr>
      </w:pPr>
    </w:p>
    <w:tbl>
      <w:tblPr>
        <w:tblStyle w:val="TableGrid"/>
        <w:tblW w:w="9540" w:type="dxa"/>
        <w:tblInd w:w="108" w:type="dxa"/>
        <w:tblLook w:val="04A0" w:firstRow="1" w:lastRow="0" w:firstColumn="1" w:lastColumn="0" w:noHBand="0" w:noVBand="1"/>
      </w:tblPr>
      <w:tblGrid>
        <w:gridCol w:w="3084"/>
        <w:gridCol w:w="2946"/>
        <w:gridCol w:w="3510"/>
      </w:tblGrid>
      <w:tr w:rsidR="00B74680" w:rsidTr="00132710">
        <w:tc>
          <w:tcPr>
            <w:tcW w:w="9540" w:type="dxa"/>
            <w:gridSpan w:val="3"/>
          </w:tcPr>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r>
              <w:rPr>
                <w:rFonts w:ascii="Cambria Math" w:eastAsia="Calibri" w:hAnsi="Cambria Math" w:cs="Arial"/>
                <w:sz w:val="24"/>
                <w:szCs w:val="24"/>
                <w:lang w:eastAsia="id-ID"/>
              </w:rPr>
              <w:lastRenderedPageBreak/>
              <w:t>Hiperparatiroidisme Primer</w:t>
            </w:r>
          </w:p>
        </w:tc>
      </w:tr>
      <w:tr w:rsidR="00B74680" w:rsidTr="00132710">
        <w:tc>
          <w:tcPr>
            <w:tcW w:w="6030" w:type="dxa"/>
            <w:gridSpan w:val="2"/>
          </w:tcPr>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r>
              <w:rPr>
                <w:rFonts w:ascii="Cambria Math" w:eastAsia="Calibri" w:hAnsi="Cambria Math" w:cs="Arial"/>
                <w:sz w:val="24"/>
                <w:szCs w:val="24"/>
                <w:lang w:eastAsia="id-ID"/>
              </w:rPr>
              <w:t>Simptomatik</w:t>
            </w:r>
          </w:p>
        </w:tc>
        <w:tc>
          <w:tcPr>
            <w:tcW w:w="3510" w:type="dxa"/>
            <w:vMerge w:val="restart"/>
          </w:tcPr>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p>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p>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r>
              <w:rPr>
                <w:rFonts w:ascii="Cambria Math" w:eastAsia="Calibri" w:hAnsi="Cambria Math" w:cs="Arial"/>
                <w:sz w:val="24"/>
                <w:szCs w:val="24"/>
                <w:lang w:eastAsia="id-ID"/>
              </w:rPr>
              <w:t>Asimptomatik</w:t>
            </w:r>
          </w:p>
        </w:tc>
      </w:tr>
      <w:tr w:rsidR="00B74680" w:rsidTr="00132710">
        <w:tc>
          <w:tcPr>
            <w:tcW w:w="3084" w:type="dxa"/>
          </w:tcPr>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r>
              <w:rPr>
                <w:rFonts w:ascii="Cambria Math" w:eastAsia="Calibri" w:hAnsi="Cambria Math" w:cs="Arial"/>
                <w:sz w:val="24"/>
                <w:szCs w:val="24"/>
                <w:lang w:eastAsia="id-ID"/>
              </w:rPr>
              <w:t>Gejala-gejala yang Berkaitan dengan hiperkalsemia</w:t>
            </w:r>
          </w:p>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r>
              <w:rPr>
                <w:rFonts w:ascii="Cambria Math" w:eastAsia="Calibri" w:hAnsi="Cambria Math" w:cs="Arial"/>
                <w:sz w:val="24"/>
                <w:szCs w:val="24"/>
                <w:lang w:eastAsia="id-ID"/>
              </w:rPr>
              <w:t>(hiperkalsemia sedang – berat &gt; 12 mg/dL)</w:t>
            </w:r>
          </w:p>
        </w:tc>
        <w:tc>
          <w:tcPr>
            <w:tcW w:w="2946" w:type="dxa"/>
          </w:tcPr>
          <w:p w:rsidR="00B74680" w:rsidRDefault="00B74680" w:rsidP="00132710">
            <w:pPr>
              <w:autoSpaceDE w:val="0"/>
              <w:autoSpaceDN w:val="0"/>
              <w:adjustRightInd w:val="0"/>
              <w:spacing w:line="360" w:lineRule="auto"/>
              <w:jc w:val="center"/>
              <w:rPr>
                <w:rFonts w:ascii="Cambria Math" w:eastAsia="Calibri" w:hAnsi="Cambria Math" w:cs="Arial"/>
                <w:sz w:val="24"/>
                <w:szCs w:val="24"/>
                <w:lang w:eastAsia="id-ID"/>
              </w:rPr>
            </w:pPr>
            <w:r>
              <w:rPr>
                <w:rFonts w:ascii="Cambria Math" w:eastAsia="Calibri" w:hAnsi="Cambria Math" w:cs="Arial"/>
                <w:sz w:val="24"/>
                <w:szCs w:val="24"/>
                <w:lang w:eastAsia="id-ID"/>
              </w:rPr>
              <w:t>Gejala-gejala yang berhubungan dengan hiperparatiroidisme</w:t>
            </w:r>
          </w:p>
        </w:tc>
        <w:tc>
          <w:tcPr>
            <w:tcW w:w="3510" w:type="dxa"/>
            <w:vMerge/>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Kelemahan otot proximal</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Cystic osteitisfibrosa</w:t>
            </w: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Gejala dari HPTP</w:t>
            </w: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Dehidrasi</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Brown Bone Tumors</w:t>
            </w: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Osteoporosis (T-Score &lt; -2,5)</w:t>
            </w: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Hipotensi</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Osteoporotic fractures</w:t>
            </w: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Clinical vertebral fractures</w:t>
            </w: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Mual</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Muscle weakness (Hypophosphoremia)</w:t>
            </w: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Batu ginjal asimptomatik</w:t>
            </w: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Konstipasi</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Batu ginjal (hiperfosfaturia)</w:t>
            </w: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Hiperkalsiuria &gt; 4 mg/kg/24 H</w:t>
            </w: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Penurunan berat badan</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Hipertensi</w:t>
            </w:r>
          </w:p>
        </w:tc>
        <w:tc>
          <w:tcPr>
            <w:tcW w:w="3510" w:type="dxa"/>
          </w:tcPr>
          <w:p w:rsidR="00B74680" w:rsidRPr="008906CA" w:rsidRDefault="00B74680" w:rsidP="00132710">
            <w:pPr>
              <w:autoSpaceDE w:val="0"/>
              <w:autoSpaceDN w:val="0"/>
              <w:adjustRightInd w:val="0"/>
              <w:spacing w:line="360" w:lineRule="auto"/>
              <w:jc w:val="both"/>
              <w:rPr>
                <w:rFonts w:ascii="Cambria Math" w:eastAsia="Calibri" w:hAnsi="Cambria Math" w:cs="Arial"/>
                <w:sz w:val="24"/>
                <w:szCs w:val="24"/>
                <w:vertAlign w:val="superscript"/>
                <w:lang w:eastAsia="id-ID"/>
              </w:rPr>
            </w:pPr>
            <w:r>
              <w:rPr>
                <w:rFonts w:ascii="Cambria Math" w:eastAsia="Calibri" w:hAnsi="Cambria Math" w:cs="Arial"/>
                <w:sz w:val="24"/>
                <w:szCs w:val="24"/>
                <w:lang w:eastAsia="id-ID"/>
              </w:rPr>
              <w:t>eGFR &lt; 60 mL/min/1.73 m</w:t>
            </w:r>
            <w:r>
              <w:rPr>
                <w:rFonts w:ascii="Cambria Math" w:eastAsia="Calibri" w:hAnsi="Cambria Math" w:cs="Arial"/>
                <w:sz w:val="24"/>
                <w:szCs w:val="24"/>
                <w:vertAlign w:val="superscript"/>
                <w:lang w:eastAsia="id-ID"/>
              </w:rPr>
              <w:t>2</w:t>
            </w: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Mental confussion</w:t>
            </w:r>
          </w:p>
        </w:tc>
        <w:tc>
          <w:tcPr>
            <w:tcW w:w="2946" w:type="dxa"/>
          </w:tcPr>
          <w:p w:rsidR="00B74680" w:rsidRDefault="00B74680" w:rsidP="00132710">
            <w:pPr>
              <w:autoSpaceDE w:val="0"/>
              <w:autoSpaceDN w:val="0"/>
              <w:adjustRightInd w:val="0"/>
              <w:spacing w:line="360" w:lineRule="auto"/>
              <w:rPr>
                <w:rFonts w:ascii="Cambria Math" w:eastAsia="Calibri" w:hAnsi="Cambria Math" w:cs="Arial"/>
                <w:sz w:val="24"/>
                <w:szCs w:val="24"/>
                <w:lang w:eastAsia="id-ID"/>
              </w:rPr>
            </w:pPr>
            <w:r>
              <w:rPr>
                <w:rFonts w:ascii="Cambria Math" w:eastAsia="Calibri" w:hAnsi="Cambria Math" w:cs="Arial"/>
                <w:sz w:val="24"/>
                <w:szCs w:val="24"/>
                <w:lang w:eastAsia="id-ID"/>
              </w:rPr>
              <w:t>Penyakit kardiovaskular</w:t>
            </w: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Sakit kepala</w:t>
            </w:r>
          </w:p>
        </w:tc>
        <w:tc>
          <w:tcPr>
            <w:tcW w:w="2946"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Sinkope</w:t>
            </w:r>
          </w:p>
        </w:tc>
        <w:tc>
          <w:tcPr>
            <w:tcW w:w="2946"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r>
      <w:tr w:rsidR="00B74680" w:rsidTr="00132710">
        <w:tc>
          <w:tcPr>
            <w:tcW w:w="3084"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Short QT/AF/VT</w:t>
            </w:r>
          </w:p>
        </w:tc>
        <w:tc>
          <w:tcPr>
            <w:tcW w:w="2946"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c>
          <w:tcPr>
            <w:tcW w:w="3510" w:type="dxa"/>
          </w:tcPr>
          <w:p w:rsidR="00B74680" w:rsidRDefault="00B74680" w:rsidP="00132710">
            <w:pPr>
              <w:autoSpaceDE w:val="0"/>
              <w:autoSpaceDN w:val="0"/>
              <w:adjustRightInd w:val="0"/>
              <w:spacing w:line="360" w:lineRule="auto"/>
              <w:jc w:val="both"/>
              <w:rPr>
                <w:rFonts w:ascii="Cambria Math" w:eastAsia="Calibri" w:hAnsi="Cambria Math" w:cs="Arial"/>
                <w:sz w:val="24"/>
                <w:szCs w:val="24"/>
                <w:lang w:eastAsia="id-ID"/>
              </w:rPr>
            </w:pPr>
          </w:p>
        </w:tc>
      </w:tr>
    </w:tbl>
    <w:p w:rsidR="00B74680" w:rsidRDefault="00B74680" w:rsidP="00B74680">
      <w:pPr>
        <w:autoSpaceDE w:val="0"/>
        <w:autoSpaceDN w:val="0"/>
        <w:adjustRightInd w:val="0"/>
        <w:spacing w:after="0" w:line="360" w:lineRule="auto"/>
        <w:ind w:firstLine="720"/>
        <w:jc w:val="center"/>
        <w:rPr>
          <w:rFonts w:ascii="Cambria Math" w:eastAsia="Calibri" w:hAnsi="Cambria Math" w:cs="Arial"/>
          <w:sz w:val="24"/>
          <w:szCs w:val="24"/>
          <w:lang w:eastAsia="id-ID"/>
        </w:rPr>
      </w:pPr>
      <w:r>
        <w:rPr>
          <w:rFonts w:ascii="Cambria Math" w:eastAsia="Calibri" w:hAnsi="Cambria Math" w:cs="Arial"/>
          <w:sz w:val="24"/>
          <w:szCs w:val="24"/>
          <w:lang w:eastAsia="id-ID"/>
        </w:rPr>
        <w:t>Tabel 1 : Gambaran penderita hiperparatiroidisme primer yang simptomatik dan asimptomatik</w:t>
      </w:r>
    </w:p>
    <w:p w:rsidR="00B74680" w:rsidRPr="003F7D46" w:rsidRDefault="00B74680" w:rsidP="00B74680">
      <w:pPr>
        <w:autoSpaceDE w:val="0"/>
        <w:autoSpaceDN w:val="0"/>
        <w:adjustRightInd w:val="0"/>
        <w:spacing w:after="0" w:line="360" w:lineRule="auto"/>
        <w:ind w:firstLine="720"/>
        <w:jc w:val="center"/>
        <w:rPr>
          <w:rFonts w:ascii="Cambria Math" w:eastAsia="Calibri" w:hAnsi="Cambria Math" w:cs="Arial"/>
          <w:sz w:val="20"/>
          <w:szCs w:val="20"/>
          <w:lang w:eastAsia="id-ID"/>
        </w:rPr>
      </w:pPr>
      <w:r w:rsidRPr="003F7D46">
        <w:rPr>
          <w:rFonts w:ascii="Cambria Math" w:eastAsia="Calibri" w:hAnsi="Cambria Math" w:cs="Arial"/>
          <w:sz w:val="20"/>
          <w:szCs w:val="20"/>
          <w:lang w:eastAsia="id-ID"/>
        </w:rPr>
        <w:t xml:space="preserve"> (dikutip dari :</w:t>
      </w:r>
      <w:r w:rsidRPr="003F7D46">
        <w:rPr>
          <w:sz w:val="20"/>
          <w:szCs w:val="20"/>
        </w:rPr>
        <w:t xml:space="preserve"> </w:t>
      </w:r>
      <w:r w:rsidRPr="003F7D46">
        <w:rPr>
          <w:rFonts w:ascii="Cambria Math" w:eastAsia="Calibri" w:hAnsi="Cambria Math" w:cs="Arial"/>
          <w:sz w:val="20"/>
          <w:szCs w:val="20"/>
          <w:lang w:eastAsia="id-ID"/>
        </w:rPr>
        <w:t>Corbetta S. Normocalcemic hyperparathyroidism. Front Horm Res. 2019(51):23-29</w:t>
      </w: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t>Normokalsemia hiperparatiroid primer (NHPTP) adalah bentuk khusus dari penyakit ini. Istilah NHPTP pertama sekali digunakan dalam laporan kasus sarjana Wills dkk pada tahun 1960-an untuk menjelaskan sekelompok pasien dengan karakteristik yang berbeda dengan yang kelompok pasien yang sudah didiagnosa dengan HPTP klasik. Normokalsemia hiperparathyroid primer dijelaskan sebagai kondisi dimana dijumpai kadar kalsium normal secara terus menerus pada keadaan peningkatan hormon paratiroid</w:t>
      </w:r>
      <w:r>
        <w:rPr>
          <w:rFonts w:ascii="Cambria Math" w:eastAsia="Calibri" w:hAnsi="Cambria Math" w:cs="Arial"/>
          <w:sz w:val="24"/>
          <w:szCs w:val="24"/>
          <w:vertAlign w:val="superscript"/>
          <w:lang w:eastAsia="id-ID"/>
        </w:rPr>
        <w:t>(2)</w:t>
      </w:r>
      <w:r>
        <w:rPr>
          <w:rFonts w:ascii="Cambria Math" w:eastAsia="Calibri" w:hAnsi="Cambria Math" w:cs="Arial"/>
          <w:sz w:val="24"/>
          <w:szCs w:val="24"/>
          <w:lang w:eastAsia="id-ID"/>
        </w:rPr>
        <w:t xml:space="preserve">. Dalam 2 dekade terakhir, penderita dengan HPT dan normokalsemia </w:t>
      </w:r>
      <w:r>
        <w:rPr>
          <w:rFonts w:ascii="Cambria Math" w:eastAsia="Calibri" w:hAnsi="Cambria Math" w:cs="Arial"/>
          <w:sz w:val="24"/>
          <w:szCs w:val="24"/>
          <w:lang w:eastAsia="id-ID"/>
        </w:rPr>
        <w:lastRenderedPageBreak/>
        <w:t xml:space="preserve">jumlahnya mengalami peningkatan. Pada penelitian </w:t>
      </w:r>
      <w:r w:rsidRPr="002502AA">
        <w:rPr>
          <w:rFonts w:ascii="Cambria Math" w:eastAsia="Calibri" w:hAnsi="Cambria Math" w:cs="Arial"/>
          <w:i/>
          <w:sz w:val="24"/>
          <w:szCs w:val="24"/>
          <w:lang w:eastAsia="id-ID"/>
        </w:rPr>
        <w:t>The Osteoporotic Fractures in Men</w:t>
      </w:r>
      <w:r>
        <w:rPr>
          <w:rFonts w:ascii="Cambria Math" w:eastAsia="Calibri" w:hAnsi="Cambria Math" w:cs="Arial"/>
          <w:sz w:val="24"/>
          <w:szCs w:val="24"/>
          <w:lang w:eastAsia="id-ID"/>
        </w:rPr>
        <w:t xml:space="preserve"> (MrOS) dan </w:t>
      </w:r>
      <w:r w:rsidRPr="002502AA">
        <w:rPr>
          <w:rFonts w:ascii="Cambria Math" w:eastAsia="Calibri" w:hAnsi="Cambria Math" w:cs="Arial"/>
          <w:i/>
          <w:sz w:val="24"/>
          <w:szCs w:val="24"/>
          <w:lang w:eastAsia="id-ID"/>
        </w:rPr>
        <w:t>Dallas Heart Study</w:t>
      </w:r>
      <w:r>
        <w:rPr>
          <w:rFonts w:ascii="Cambria Math" w:eastAsia="Calibri" w:hAnsi="Cambria Math" w:cs="Arial"/>
          <w:sz w:val="24"/>
          <w:szCs w:val="24"/>
          <w:lang w:eastAsia="id-ID"/>
        </w:rPr>
        <w:t xml:space="preserve"> (DHS) didapatkan prevalensi dari NHPTP adalah sebesar 0,4 dan 0,6%. Pada 5.202 perempuan yang sudah menopause berusia 55-75 tahun, didapatkan prevalensi NHPTP adalah sebesar 1,4%</w:t>
      </w:r>
      <w:r>
        <w:rPr>
          <w:rFonts w:ascii="Cambria Math" w:eastAsia="Calibri" w:hAnsi="Cambria Math" w:cs="Arial"/>
          <w:sz w:val="24"/>
          <w:szCs w:val="24"/>
          <w:vertAlign w:val="superscript"/>
          <w:lang w:eastAsia="id-ID"/>
        </w:rPr>
        <w:t>(3)</w:t>
      </w:r>
      <w:r>
        <w:rPr>
          <w:rFonts w:ascii="Cambria Math" w:eastAsia="Calibri" w:hAnsi="Cambria Math" w:cs="Arial"/>
          <w:sz w:val="24"/>
          <w:szCs w:val="24"/>
          <w:lang w:eastAsia="id-ID"/>
        </w:rPr>
        <w:t>.</w:t>
      </w: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t xml:space="preserve">Beberapa teori yang menjelaskan terjadinya NHPTP adalah:  </w:t>
      </w:r>
    </w:p>
    <w:p w:rsidR="00B74680" w:rsidRDefault="00B74680" w:rsidP="00B74680">
      <w:pPr>
        <w:pStyle w:val="ListParagraph"/>
        <w:numPr>
          <w:ilvl w:val="0"/>
          <w:numId w:val="1"/>
        </w:numPr>
        <w:autoSpaceDE w:val="0"/>
        <w:autoSpaceDN w:val="0"/>
        <w:adjustRightInd w:val="0"/>
        <w:spacing w:after="0" w:line="360" w:lineRule="auto"/>
        <w:jc w:val="both"/>
        <w:rPr>
          <w:rFonts w:ascii="Cambria Math" w:eastAsia="Calibri" w:hAnsi="Cambria Math" w:cs="Arial"/>
          <w:sz w:val="24"/>
          <w:szCs w:val="24"/>
          <w:lang w:eastAsia="id-ID"/>
        </w:rPr>
      </w:pPr>
      <w:r w:rsidRPr="00197EEF">
        <w:rPr>
          <w:rFonts w:ascii="Cambria Math" w:eastAsia="Calibri" w:hAnsi="Cambria Math" w:cs="Arial"/>
          <w:sz w:val="24"/>
          <w:szCs w:val="24"/>
          <w:lang w:eastAsia="id-ID"/>
        </w:rPr>
        <w:t>Fase subklinis dari HPTP</w:t>
      </w:r>
    </w:p>
    <w:p w:rsidR="00B74680"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NPHPT dapat mewakili tahap awal atau bentuk ringan dari PHPT</w:t>
      </w:r>
      <w:r>
        <w:rPr>
          <w:rFonts w:ascii="Cambria Math" w:eastAsia="Calibri" w:hAnsi="Cambria Math" w:cs="Arial"/>
          <w:sz w:val="24"/>
          <w:szCs w:val="24"/>
          <w:vertAlign w:val="superscript"/>
          <w:lang w:eastAsia="id-ID"/>
        </w:rPr>
        <w:t>(3)</w:t>
      </w:r>
      <w:r>
        <w:rPr>
          <w:rFonts w:ascii="Cambria Math" w:eastAsia="Calibri" w:hAnsi="Cambria Math" w:cs="Arial"/>
          <w:sz w:val="24"/>
          <w:szCs w:val="24"/>
          <w:lang w:eastAsia="id-ID"/>
        </w:rPr>
        <w:t>. Sarjana Rao dan Cols merumuskan bahwa manifestasi klinis dari PHPT terbentuk secara kronologis dalam 2 fase : yang pertama, tahap awal/ringan awal dimana kadar kalsium normal pada keadaan peningkatan HPT, fase ke kedua dikenali sebagai HPTP dimana hiperkalsemia muncul dengan peningkatan kadar HPT</w:t>
      </w:r>
      <w:r>
        <w:rPr>
          <w:rFonts w:ascii="Cambria Math" w:eastAsia="Calibri" w:hAnsi="Cambria Math" w:cs="Arial"/>
          <w:sz w:val="24"/>
          <w:szCs w:val="24"/>
          <w:vertAlign w:val="superscript"/>
          <w:lang w:eastAsia="id-ID"/>
        </w:rPr>
        <w:t>(4)</w:t>
      </w:r>
      <w:r>
        <w:rPr>
          <w:rFonts w:ascii="Cambria Math" w:eastAsia="Calibri" w:hAnsi="Cambria Math" w:cs="Arial"/>
          <w:sz w:val="24"/>
          <w:szCs w:val="24"/>
          <w:lang w:eastAsia="id-ID"/>
        </w:rPr>
        <w:t>.</w:t>
      </w:r>
    </w:p>
    <w:p w:rsidR="00B74680" w:rsidRPr="00197EEF"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p>
    <w:p w:rsidR="00B74680" w:rsidRPr="00960D65" w:rsidRDefault="00B74680" w:rsidP="00B74680">
      <w:pPr>
        <w:pStyle w:val="ListParagraph"/>
        <w:numPr>
          <w:ilvl w:val="0"/>
          <w:numId w:val="1"/>
        </w:numPr>
        <w:autoSpaceDE w:val="0"/>
        <w:autoSpaceDN w:val="0"/>
        <w:adjustRightInd w:val="0"/>
        <w:spacing w:after="0" w:line="360" w:lineRule="auto"/>
        <w:jc w:val="both"/>
        <w:rPr>
          <w:rFonts w:ascii="Cambria Math" w:eastAsia="Calibri" w:hAnsi="Cambria Math" w:cs="Arial"/>
          <w:sz w:val="24"/>
          <w:szCs w:val="24"/>
          <w:lang w:eastAsia="id-ID"/>
        </w:rPr>
      </w:pPr>
      <w:r w:rsidRPr="00960D65">
        <w:rPr>
          <w:rFonts w:ascii="Cambria Math" w:eastAsia="Calibri" w:hAnsi="Cambria Math" w:cs="Arial"/>
          <w:sz w:val="24"/>
          <w:szCs w:val="24"/>
          <w:lang w:eastAsia="id-ID"/>
        </w:rPr>
        <w:t>Respon terhadap rangsangan hipokalsemik persisten</w:t>
      </w:r>
    </w:p>
    <w:p w:rsidR="00B74680" w:rsidRPr="00B86324"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K</w:t>
      </w:r>
      <w:r w:rsidRPr="00960D65">
        <w:rPr>
          <w:rFonts w:ascii="Cambria Math" w:eastAsia="Calibri" w:hAnsi="Cambria Math" w:cs="Arial"/>
          <w:sz w:val="24"/>
          <w:szCs w:val="24"/>
          <w:lang w:eastAsia="id-ID"/>
        </w:rPr>
        <w:t>eb</w:t>
      </w:r>
      <w:r>
        <w:rPr>
          <w:rFonts w:ascii="Cambria Math" w:eastAsia="Calibri" w:hAnsi="Cambria Math" w:cs="Arial"/>
          <w:sz w:val="24"/>
          <w:szCs w:val="24"/>
          <w:lang w:eastAsia="id-ID"/>
        </w:rPr>
        <w:t xml:space="preserve">ocoran kalsium ginjal primer akan menyebabkan terjadinya hiperparatiroidisme sekunder dan akhirnya </w:t>
      </w:r>
      <w:r w:rsidRPr="00B67B17">
        <w:rPr>
          <w:rFonts w:ascii="Cambria Math" w:eastAsia="Calibri" w:hAnsi="Cambria Math" w:cs="Arial"/>
          <w:i/>
          <w:sz w:val="24"/>
          <w:szCs w:val="24"/>
          <w:lang w:eastAsia="id-ID"/>
        </w:rPr>
        <w:t>autonomous hyperparathyroidism</w:t>
      </w:r>
      <w:r>
        <w:rPr>
          <w:rFonts w:ascii="Cambria Math" w:eastAsia="Calibri" w:hAnsi="Cambria Math" w:cs="Arial"/>
          <w:sz w:val="24"/>
          <w:szCs w:val="24"/>
          <w:lang w:eastAsia="id-ID"/>
        </w:rPr>
        <w:t xml:space="preserve"> yang telah diusulkan untuk menjelaskan tidak adanya hiperkalsemia pada beberapa kasus HPTP.  Hipotesis ini juga </w:t>
      </w:r>
      <w:r w:rsidRPr="001B5A8F">
        <w:rPr>
          <w:rFonts w:ascii="Cambria Math" w:eastAsia="Calibri" w:hAnsi="Cambria Math" w:cs="Arial"/>
          <w:sz w:val="24"/>
          <w:szCs w:val="24"/>
          <w:lang w:eastAsia="id-ID"/>
        </w:rPr>
        <w:t>didukung oleh data terbaru yang menunjukkan bahwa hiperkalsiuria</w:t>
      </w:r>
      <w:r>
        <w:rPr>
          <w:rFonts w:ascii="Cambria Math" w:eastAsia="Calibri" w:hAnsi="Cambria Math" w:cs="Arial"/>
          <w:sz w:val="24"/>
          <w:szCs w:val="24"/>
          <w:lang w:eastAsia="id-ID"/>
        </w:rPr>
        <w:t xml:space="preserve"> yang menetap </w:t>
      </w:r>
      <w:r w:rsidRPr="001B5A8F">
        <w:rPr>
          <w:rFonts w:ascii="Cambria Math" w:eastAsia="Calibri" w:hAnsi="Cambria Math" w:cs="Arial"/>
          <w:sz w:val="24"/>
          <w:szCs w:val="24"/>
          <w:lang w:eastAsia="id-ID"/>
        </w:rPr>
        <w:t xml:space="preserve">setelah </w:t>
      </w:r>
      <w:r>
        <w:rPr>
          <w:rFonts w:ascii="Cambria Math" w:eastAsia="Calibri" w:hAnsi="Cambria Math" w:cs="Arial"/>
          <w:sz w:val="24"/>
          <w:szCs w:val="24"/>
          <w:lang w:eastAsia="id-ID"/>
        </w:rPr>
        <w:t xml:space="preserve">keberhasilan operasi paratiroidektomi </w:t>
      </w:r>
      <w:r w:rsidRPr="001B5A8F">
        <w:rPr>
          <w:rFonts w:ascii="Cambria Math" w:eastAsia="Calibri" w:hAnsi="Cambria Math" w:cs="Arial"/>
          <w:sz w:val="24"/>
          <w:szCs w:val="24"/>
          <w:lang w:eastAsia="id-ID"/>
        </w:rPr>
        <w:t>pada h</w:t>
      </w:r>
      <w:r>
        <w:rPr>
          <w:rFonts w:ascii="Cambria Math" w:eastAsia="Calibri" w:hAnsi="Cambria Math" w:cs="Arial"/>
          <w:sz w:val="24"/>
          <w:szCs w:val="24"/>
          <w:lang w:eastAsia="id-ID"/>
        </w:rPr>
        <w:t>ampir sepertiga pasien HPTP. Variabel lain yang dapat meningkatkan sekresi HPT</w:t>
      </w:r>
      <w:r w:rsidRPr="001B5A8F">
        <w:rPr>
          <w:rFonts w:ascii="Cambria Math" w:eastAsia="Calibri" w:hAnsi="Cambria Math" w:cs="Arial"/>
          <w:sz w:val="24"/>
          <w:szCs w:val="24"/>
          <w:lang w:eastAsia="id-ID"/>
        </w:rPr>
        <w:t>, seperti usia, BMI, l</w:t>
      </w:r>
      <w:r>
        <w:rPr>
          <w:rFonts w:ascii="Cambria Math" w:eastAsia="Calibri" w:hAnsi="Cambria Math" w:cs="Arial"/>
          <w:sz w:val="24"/>
          <w:szCs w:val="24"/>
          <w:lang w:eastAsia="id-ID"/>
        </w:rPr>
        <w:t xml:space="preserve">ingkar pinggang, asupan kalsium, </w:t>
      </w:r>
      <w:r w:rsidRPr="001B5A8F">
        <w:rPr>
          <w:rFonts w:ascii="Cambria Math" w:eastAsia="Calibri" w:hAnsi="Cambria Math" w:cs="Arial"/>
          <w:sz w:val="24"/>
          <w:szCs w:val="24"/>
          <w:lang w:eastAsia="id-ID"/>
        </w:rPr>
        <w:t>gangguan gastrointestinal subklinis, dll., dapa</w:t>
      </w:r>
      <w:r>
        <w:rPr>
          <w:rFonts w:ascii="Cambria Math" w:eastAsia="Calibri" w:hAnsi="Cambria Math" w:cs="Arial"/>
          <w:sz w:val="24"/>
          <w:szCs w:val="24"/>
          <w:lang w:eastAsia="id-ID"/>
        </w:rPr>
        <w:t xml:space="preserve">t terakumulasi pada seorang </w:t>
      </w:r>
      <w:r w:rsidRPr="001B5A8F">
        <w:rPr>
          <w:rFonts w:ascii="Cambria Math" w:eastAsia="Calibri" w:hAnsi="Cambria Math" w:cs="Arial"/>
          <w:sz w:val="24"/>
          <w:szCs w:val="24"/>
          <w:lang w:eastAsia="id-ID"/>
        </w:rPr>
        <w:t>pasien</w:t>
      </w:r>
      <w:r>
        <w:rPr>
          <w:rFonts w:ascii="Cambria Math" w:eastAsia="Calibri" w:hAnsi="Cambria Math" w:cs="Arial"/>
          <w:sz w:val="24"/>
          <w:szCs w:val="24"/>
          <w:lang w:eastAsia="id-ID"/>
        </w:rPr>
        <w:t xml:space="preserve"> sehingga </w:t>
      </w:r>
      <w:r w:rsidRPr="001B5A8F">
        <w:rPr>
          <w:rFonts w:ascii="Cambria Math" w:eastAsia="Calibri" w:hAnsi="Cambria Math" w:cs="Arial"/>
          <w:sz w:val="24"/>
          <w:szCs w:val="24"/>
          <w:lang w:eastAsia="id-ID"/>
        </w:rPr>
        <w:t>memicu hiperparatiroidisme. Ole</w:t>
      </w:r>
      <w:r>
        <w:rPr>
          <w:rFonts w:ascii="Cambria Math" w:eastAsia="Calibri" w:hAnsi="Cambria Math" w:cs="Arial"/>
          <w:sz w:val="24"/>
          <w:szCs w:val="24"/>
          <w:lang w:eastAsia="id-ID"/>
        </w:rPr>
        <w:t xml:space="preserve">h karena itu, kemungkinan NHPTP </w:t>
      </w:r>
      <w:r w:rsidRPr="001B5A8F">
        <w:rPr>
          <w:rFonts w:ascii="Cambria Math" w:eastAsia="Calibri" w:hAnsi="Cambria Math" w:cs="Arial"/>
          <w:sz w:val="24"/>
          <w:szCs w:val="24"/>
          <w:lang w:eastAsia="id-ID"/>
        </w:rPr>
        <w:t>dapat mewakili suatu</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fase awal</w:t>
      </w:r>
      <w:r>
        <w:rPr>
          <w:rFonts w:ascii="Cambria Math" w:eastAsia="Calibri" w:hAnsi="Cambria Math" w:cs="Arial"/>
          <w:sz w:val="24"/>
          <w:szCs w:val="24"/>
          <w:lang w:eastAsia="id-ID"/>
        </w:rPr>
        <w:t xml:space="preserve"> dari </w:t>
      </w:r>
      <w:r w:rsidRPr="001B5A8F">
        <w:rPr>
          <w:rFonts w:ascii="Cambria Math" w:eastAsia="Calibri" w:hAnsi="Cambria Math" w:cs="Arial"/>
          <w:sz w:val="24"/>
          <w:szCs w:val="24"/>
          <w:lang w:eastAsia="id-ID"/>
        </w:rPr>
        <w:t xml:space="preserve"> </w:t>
      </w:r>
      <w:r w:rsidRPr="00B67B17">
        <w:rPr>
          <w:rFonts w:ascii="Cambria Math" w:eastAsia="Calibri" w:hAnsi="Cambria Math" w:cs="Arial"/>
          <w:i/>
          <w:sz w:val="24"/>
          <w:szCs w:val="24"/>
          <w:lang w:eastAsia="id-ID"/>
        </w:rPr>
        <w:t>non classical</w:t>
      </w:r>
      <w:r>
        <w:rPr>
          <w:rFonts w:ascii="Cambria Math" w:eastAsia="Calibri" w:hAnsi="Cambria Math" w:cs="Arial"/>
          <w:sz w:val="24"/>
          <w:szCs w:val="24"/>
          <w:lang w:eastAsia="id-ID"/>
        </w:rPr>
        <w:t xml:space="preserve"> SHPT </w:t>
      </w:r>
      <w:r w:rsidRPr="001B5A8F">
        <w:rPr>
          <w:rFonts w:ascii="Cambria Math" w:eastAsia="Calibri" w:hAnsi="Cambria Math" w:cs="Arial"/>
          <w:sz w:val="24"/>
          <w:szCs w:val="24"/>
          <w:lang w:eastAsia="id-ID"/>
        </w:rPr>
        <w:t>tidak dapat dikecualikan</w:t>
      </w:r>
      <w:r>
        <w:rPr>
          <w:rFonts w:ascii="Cambria Math" w:eastAsia="Calibri" w:hAnsi="Cambria Math" w:cs="Arial"/>
          <w:sz w:val="24"/>
          <w:szCs w:val="24"/>
          <w:vertAlign w:val="superscript"/>
          <w:lang w:eastAsia="id-ID"/>
        </w:rPr>
        <w:t>(3)</w:t>
      </w:r>
      <w:r w:rsidRPr="001B5A8F">
        <w:rPr>
          <w:rFonts w:ascii="Cambria Math" w:eastAsia="Calibri" w:hAnsi="Cambria Math" w:cs="Arial"/>
          <w:sz w:val="24"/>
          <w:szCs w:val="24"/>
          <w:lang w:eastAsia="id-ID"/>
        </w:rPr>
        <w:t>.</w:t>
      </w:r>
    </w:p>
    <w:p w:rsidR="00B74680"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p>
    <w:p w:rsidR="00B74680" w:rsidRDefault="00B74680" w:rsidP="00B74680">
      <w:pPr>
        <w:pStyle w:val="ListParagraph"/>
        <w:numPr>
          <w:ilvl w:val="0"/>
          <w:numId w:val="1"/>
        </w:numPr>
        <w:autoSpaceDE w:val="0"/>
        <w:autoSpaceDN w:val="0"/>
        <w:adjustRightInd w:val="0"/>
        <w:spacing w:after="0" w:line="360" w:lineRule="auto"/>
        <w:jc w:val="both"/>
        <w:rPr>
          <w:rFonts w:ascii="Cambria Math" w:eastAsia="Calibri" w:hAnsi="Cambria Math" w:cs="Arial"/>
          <w:sz w:val="24"/>
          <w:szCs w:val="24"/>
          <w:lang w:eastAsia="id-ID"/>
        </w:rPr>
      </w:pPr>
      <w:r w:rsidRPr="00B67B17">
        <w:rPr>
          <w:rFonts w:ascii="Cambria Math" w:eastAsia="Calibri" w:hAnsi="Cambria Math" w:cs="Arial"/>
          <w:sz w:val="24"/>
          <w:szCs w:val="24"/>
          <w:lang w:eastAsia="id-ID"/>
        </w:rPr>
        <w:t>Resistensi tula</w:t>
      </w:r>
      <w:r>
        <w:rPr>
          <w:rFonts w:ascii="Cambria Math" w:eastAsia="Calibri" w:hAnsi="Cambria Math" w:cs="Arial"/>
          <w:sz w:val="24"/>
          <w:szCs w:val="24"/>
          <w:lang w:eastAsia="id-ID"/>
        </w:rPr>
        <w:t>ng dan ginjal terhadap kerja HPT</w:t>
      </w:r>
    </w:p>
    <w:p w:rsidR="00B74680"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Maruani dkk, melaporkan bahwa sekitar 20% pasien dengan HPTP</w:t>
      </w:r>
      <w:r w:rsidRPr="001B5A8F">
        <w:rPr>
          <w:rFonts w:ascii="Cambria Math" w:eastAsia="Calibri" w:hAnsi="Cambria Math" w:cs="Arial"/>
          <w:sz w:val="24"/>
          <w:szCs w:val="24"/>
          <w:lang w:eastAsia="id-ID"/>
        </w:rPr>
        <w:t xml:space="preserve"> mampu mempertahankan konsentrasi kalsium serum normal</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meskipun</w:t>
      </w:r>
      <w:r>
        <w:rPr>
          <w:rFonts w:ascii="Cambria Math" w:eastAsia="Calibri" w:hAnsi="Cambria Math" w:cs="Arial"/>
          <w:sz w:val="24"/>
          <w:szCs w:val="24"/>
          <w:lang w:eastAsia="id-ID"/>
        </w:rPr>
        <w:t xml:space="preserve"> terjadi peningkatan sekresi HPT, dan bahwa terpeliharanya </w:t>
      </w:r>
      <w:r w:rsidRPr="001B5A8F">
        <w:rPr>
          <w:rFonts w:ascii="Cambria Math" w:eastAsia="Calibri" w:hAnsi="Cambria Math" w:cs="Arial"/>
          <w:sz w:val="24"/>
          <w:szCs w:val="24"/>
          <w:lang w:eastAsia="id-ID"/>
        </w:rPr>
        <w:t>konsentrasi kalsium serum</w:t>
      </w:r>
      <w:r>
        <w:rPr>
          <w:rFonts w:ascii="Cambria Math" w:eastAsia="Calibri" w:hAnsi="Cambria Math" w:cs="Arial"/>
          <w:sz w:val="24"/>
          <w:szCs w:val="24"/>
          <w:lang w:eastAsia="id-ID"/>
        </w:rPr>
        <w:t xml:space="preserve"> dalam batas</w:t>
      </w:r>
      <w:r w:rsidRPr="001B5A8F">
        <w:rPr>
          <w:rFonts w:ascii="Cambria Math" w:eastAsia="Calibri" w:hAnsi="Cambria Math" w:cs="Arial"/>
          <w:sz w:val="24"/>
          <w:szCs w:val="24"/>
          <w:lang w:eastAsia="id-ID"/>
        </w:rPr>
        <w:t xml:space="preserve"> normal adalah bagian yang terkait dengan resistensi tulang dan ginjal</w:t>
      </w:r>
      <w:r>
        <w:rPr>
          <w:rFonts w:ascii="Cambria Math" w:eastAsia="Calibri" w:hAnsi="Cambria Math" w:cs="Arial"/>
          <w:sz w:val="24"/>
          <w:szCs w:val="24"/>
          <w:lang w:eastAsia="id-ID"/>
        </w:rPr>
        <w:t xml:space="preserve"> terhadap kerja biologis HPT. K</w:t>
      </w:r>
      <w:r w:rsidRPr="001B5A8F">
        <w:rPr>
          <w:rFonts w:ascii="Cambria Math" w:eastAsia="Calibri" w:hAnsi="Cambria Math" w:cs="Arial"/>
          <w:sz w:val="24"/>
          <w:szCs w:val="24"/>
          <w:lang w:eastAsia="id-ID"/>
        </w:rPr>
        <w:t>emampuan tubulus ginjal untuk menye</w:t>
      </w:r>
      <w:r>
        <w:rPr>
          <w:rFonts w:ascii="Cambria Math" w:eastAsia="Calibri" w:hAnsi="Cambria Math" w:cs="Arial"/>
          <w:sz w:val="24"/>
          <w:szCs w:val="24"/>
          <w:lang w:eastAsia="id-ID"/>
        </w:rPr>
        <w:t>rap kembali kalsium lebih rendah</w:t>
      </w:r>
      <w:r w:rsidRPr="001B5A8F">
        <w:rPr>
          <w:rFonts w:ascii="Cambria Math" w:eastAsia="Calibri" w:hAnsi="Cambria Math" w:cs="Arial"/>
          <w:sz w:val="24"/>
          <w:szCs w:val="24"/>
          <w:lang w:eastAsia="id-ID"/>
        </w:rPr>
        <w:t xml:space="preserve"> pada </w:t>
      </w:r>
      <w:r>
        <w:rPr>
          <w:rFonts w:ascii="Cambria Math" w:eastAsia="Calibri" w:hAnsi="Cambria Math" w:cs="Arial"/>
          <w:sz w:val="24"/>
          <w:szCs w:val="24"/>
          <w:lang w:eastAsia="id-ID"/>
        </w:rPr>
        <w:t xml:space="preserve">kelompok pasien normokalsemia dibandingkan hiperkalsemia. </w:t>
      </w:r>
      <w:r w:rsidRPr="001B5A8F">
        <w:rPr>
          <w:rFonts w:ascii="Cambria Math" w:eastAsia="Calibri" w:hAnsi="Cambria Math" w:cs="Arial"/>
          <w:sz w:val="24"/>
          <w:szCs w:val="24"/>
          <w:lang w:eastAsia="id-ID"/>
        </w:rPr>
        <w:lastRenderedPageBreak/>
        <w:t>Selain itu, kemampuan PTH untuk mengurangi reabsorpsi fosfat</w:t>
      </w:r>
      <w:r>
        <w:rPr>
          <w:rFonts w:ascii="Cambria Math" w:eastAsia="Calibri" w:hAnsi="Cambria Math" w:cs="Arial"/>
          <w:sz w:val="24"/>
          <w:szCs w:val="24"/>
          <w:lang w:eastAsia="id-ID"/>
        </w:rPr>
        <w:t xml:space="preserve"> di  tubulus ginjal </w:t>
      </w:r>
      <w:r w:rsidRPr="001B5A8F">
        <w:rPr>
          <w:rFonts w:ascii="Cambria Math" w:eastAsia="Calibri" w:hAnsi="Cambria Math" w:cs="Arial"/>
          <w:sz w:val="24"/>
          <w:szCs w:val="24"/>
          <w:lang w:eastAsia="id-ID"/>
        </w:rPr>
        <w:t>dan merangsang sintesis 1,25-dihydroxyvitamin D juga tumpul pada pasien</w:t>
      </w:r>
      <w:r>
        <w:rPr>
          <w:rFonts w:ascii="Cambria Math" w:eastAsia="Calibri" w:hAnsi="Cambria Math" w:cs="Arial"/>
          <w:sz w:val="24"/>
          <w:szCs w:val="24"/>
          <w:lang w:eastAsia="id-ID"/>
        </w:rPr>
        <w:t xml:space="preserve"> yang </w:t>
      </w:r>
      <w:r w:rsidRPr="001B5A8F">
        <w:rPr>
          <w:rFonts w:ascii="Cambria Math" w:eastAsia="Calibri" w:hAnsi="Cambria Math" w:cs="Arial"/>
          <w:sz w:val="24"/>
          <w:szCs w:val="24"/>
          <w:lang w:eastAsia="id-ID"/>
        </w:rPr>
        <w:t>normokal</w:t>
      </w:r>
      <w:r>
        <w:rPr>
          <w:rFonts w:ascii="Cambria Math" w:eastAsia="Calibri" w:hAnsi="Cambria Math" w:cs="Arial"/>
          <w:sz w:val="24"/>
          <w:szCs w:val="24"/>
          <w:lang w:eastAsia="id-ID"/>
        </w:rPr>
        <w:t>s</w:t>
      </w:r>
      <w:r w:rsidRPr="001B5A8F">
        <w:rPr>
          <w:rFonts w:ascii="Cambria Math" w:eastAsia="Calibri" w:hAnsi="Cambria Math" w:cs="Arial"/>
          <w:sz w:val="24"/>
          <w:szCs w:val="24"/>
          <w:lang w:eastAsia="id-ID"/>
        </w:rPr>
        <w:t>emia, dibandingkan dengan mereka yang hiperkalsemia.</w:t>
      </w:r>
      <w:r>
        <w:rPr>
          <w:rFonts w:ascii="Cambria Math" w:eastAsia="Calibri" w:hAnsi="Cambria Math" w:cs="Arial"/>
          <w:sz w:val="24"/>
          <w:szCs w:val="24"/>
          <w:lang w:eastAsia="id-ID"/>
        </w:rPr>
        <w:t xml:space="preserve"> Oleh k</w:t>
      </w:r>
      <w:r w:rsidRPr="001B5A8F">
        <w:rPr>
          <w:rFonts w:ascii="Cambria Math" w:eastAsia="Calibri" w:hAnsi="Cambria Math" w:cs="Arial"/>
          <w:sz w:val="24"/>
          <w:szCs w:val="24"/>
          <w:lang w:eastAsia="id-ID"/>
        </w:rPr>
        <w:t>arena itu, setidaknya 3 f</w:t>
      </w:r>
      <w:r>
        <w:rPr>
          <w:rFonts w:ascii="Cambria Math" w:eastAsia="Calibri" w:hAnsi="Cambria Math" w:cs="Arial"/>
          <w:sz w:val="24"/>
          <w:szCs w:val="24"/>
          <w:lang w:eastAsia="id-ID"/>
        </w:rPr>
        <w:t>ungsi ginjal yang bergantung dengan HPT dilemahkan pada pasien</w:t>
      </w:r>
      <w:r w:rsidRPr="001B5A8F">
        <w:rPr>
          <w:rFonts w:ascii="Cambria Math" w:eastAsia="Calibri" w:hAnsi="Cambria Math" w:cs="Arial"/>
          <w:sz w:val="24"/>
          <w:szCs w:val="24"/>
          <w:lang w:eastAsia="id-ID"/>
        </w:rPr>
        <w:t xml:space="preserve"> NPHPT</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meskipun hi</w:t>
      </w:r>
      <w:r>
        <w:rPr>
          <w:rFonts w:ascii="Cambria Math" w:eastAsia="Calibri" w:hAnsi="Cambria Math" w:cs="Arial"/>
          <w:sz w:val="24"/>
          <w:szCs w:val="24"/>
          <w:lang w:eastAsia="id-ID"/>
        </w:rPr>
        <w:t>persekresi HPT primernya identik</w:t>
      </w:r>
      <w:r w:rsidRPr="001B5A8F">
        <w:rPr>
          <w:rFonts w:ascii="Cambria Math" w:eastAsia="Calibri" w:hAnsi="Cambria Math" w:cs="Arial"/>
          <w:sz w:val="24"/>
          <w:szCs w:val="24"/>
          <w:lang w:eastAsia="id-ID"/>
        </w:rPr>
        <w:t xml:space="preserve">, </w:t>
      </w:r>
      <w:r>
        <w:rPr>
          <w:rFonts w:ascii="Cambria Math" w:eastAsia="Calibri" w:hAnsi="Cambria Math" w:cs="Arial"/>
          <w:sz w:val="24"/>
          <w:szCs w:val="24"/>
          <w:lang w:eastAsia="id-ID"/>
        </w:rPr>
        <w:t xml:space="preserve">yang mana menunjukkan </w:t>
      </w:r>
      <w:r w:rsidRPr="001B5A8F">
        <w:rPr>
          <w:rFonts w:ascii="Cambria Math" w:eastAsia="Calibri" w:hAnsi="Cambria Math" w:cs="Arial"/>
          <w:sz w:val="24"/>
          <w:szCs w:val="24"/>
          <w:lang w:eastAsia="id-ID"/>
        </w:rPr>
        <w:t>resistensi ginjal</w:t>
      </w:r>
      <w:r>
        <w:rPr>
          <w:rFonts w:ascii="Cambria Math" w:eastAsia="Calibri" w:hAnsi="Cambria Math" w:cs="Arial"/>
          <w:sz w:val="24"/>
          <w:szCs w:val="24"/>
          <w:lang w:eastAsia="id-ID"/>
        </w:rPr>
        <w:t xml:space="preserve"> sebagian terhadap kerja fisiologis HPT</w:t>
      </w:r>
      <w:r>
        <w:rPr>
          <w:rFonts w:ascii="Cambria Math" w:eastAsia="Calibri" w:hAnsi="Cambria Math" w:cs="Arial"/>
          <w:sz w:val="24"/>
          <w:szCs w:val="24"/>
          <w:vertAlign w:val="superscript"/>
          <w:lang w:eastAsia="id-ID"/>
        </w:rPr>
        <w:t>(3)</w:t>
      </w:r>
      <w:r w:rsidRPr="001B5A8F">
        <w:rPr>
          <w:rFonts w:ascii="Cambria Math" w:eastAsia="Calibri" w:hAnsi="Cambria Math" w:cs="Arial"/>
          <w:sz w:val="24"/>
          <w:szCs w:val="24"/>
          <w:lang w:eastAsia="id-ID"/>
        </w:rPr>
        <w:t xml:space="preserve">. </w:t>
      </w:r>
    </w:p>
    <w:p w:rsidR="00B74680"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p>
    <w:p w:rsidR="00B74680" w:rsidRPr="00533FBE" w:rsidRDefault="00B74680" w:rsidP="00B74680">
      <w:pPr>
        <w:pStyle w:val="ListParagraph"/>
        <w:numPr>
          <w:ilvl w:val="0"/>
          <w:numId w:val="1"/>
        </w:numPr>
        <w:autoSpaceDE w:val="0"/>
        <w:autoSpaceDN w:val="0"/>
        <w:adjustRightInd w:val="0"/>
        <w:spacing w:after="0" w:line="360" w:lineRule="auto"/>
        <w:jc w:val="both"/>
        <w:rPr>
          <w:rFonts w:ascii="Cambria Math" w:eastAsia="Calibri" w:hAnsi="Cambria Math" w:cs="Arial"/>
          <w:sz w:val="24"/>
          <w:szCs w:val="24"/>
          <w:lang w:eastAsia="id-ID"/>
        </w:rPr>
      </w:pPr>
      <w:r w:rsidRPr="00533FBE">
        <w:rPr>
          <w:rFonts w:ascii="Cambria Math" w:eastAsia="Calibri" w:hAnsi="Cambria Math" w:cs="Arial"/>
          <w:sz w:val="24"/>
          <w:szCs w:val="24"/>
          <w:lang w:eastAsia="id-ID"/>
        </w:rPr>
        <w:t>Polimorfism</w:t>
      </w:r>
      <w:r>
        <w:rPr>
          <w:rFonts w:ascii="Cambria Math" w:eastAsia="Calibri" w:hAnsi="Cambria Math" w:cs="Arial"/>
          <w:sz w:val="24"/>
          <w:szCs w:val="24"/>
          <w:lang w:eastAsia="id-ID"/>
        </w:rPr>
        <w:t>e dari CASR dan gen HPT dalam NHPTP</w:t>
      </w:r>
    </w:p>
    <w:p w:rsidR="00B74680" w:rsidRPr="001B5A8F" w:rsidRDefault="00B74680" w:rsidP="00B74680">
      <w:pPr>
        <w:pStyle w:val="ListParagraph"/>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P</w:t>
      </w:r>
      <w:r w:rsidRPr="00533FBE">
        <w:rPr>
          <w:rFonts w:ascii="Cambria Math" w:eastAsia="Calibri" w:hAnsi="Cambria Math" w:cs="Arial"/>
          <w:sz w:val="24"/>
          <w:szCs w:val="24"/>
          <w:lang w:eastAsia="id-ID"/>
        </w:rPr>
        <w:t>olimorfisme</w:t>
      </w:r>
      <w:r>
        <w:rPr>
          <w:rFonts w:ascii="Cambria Math" w:eastAsia="Calibri" w:hAnsi="Cambria Math" w:cs="Arial"/>
          <w:sz w:val="24"/>
          <w:szCs w:val="24"/>
          <w:lang w:eastAsia="id-ID"/>
        </w:rPr>
        <w:t xml:space="preserve"> dari</w:t>
      </w:r>
      <w:r w:rsidRPr="00533FBE">
        <w:rPr>
          <w:rFonts w:ascii="Cambria Math" w:eastAsia="Calibri" w:hAnsi="Cambria Math" w:cs="Arial"/>
          <w:sz w:val="24"/>
          <w:szCs w:val="24"/>
          <w:lang w:eastAsia="id-ID"/>
        </w:rPr>
        <w:t xml:space="preserve"> A986S</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CASR telah dievaluas</w:t>
      </w:r>
      <w:r>
        <w:rPr>
          <w:rFonts w:ascii="Cambria Math" w:eastAsia="Calibri" w:hAnsi="Cambria Math" w:cs="Arial"/>
          <w:sz w:val="24"/>
          <w:szCs w:val="24"/>
          <w:lang w:eastAsia="id-ID"/>
        </w:rPr>
        <w:t xml:space="preserve">i sebagai penentu resistensi HPT pada </w:t>
      </w:r>
      <w:r w:rsidRPr="001B5A8F">
        <w:rPr>
          <w:rFonts w:ascii="Cambria Math" w:eastAsia="Calibri" w:hAnsi="Cambria Math" w:cs="Arial"/>
          <w:sz w:val="24"/>
          <w:szCs w:val="24"/>
          <w:lang w:eastAsia="id-ID"/>
        </w:rPr>
        <w:t>NPHPT dan</w:t>
      </w:r>
      <w:r>
        <w:rPr>
          <w:rFonts w:ascii="Cambria Math" w:eastAsia="Calibri" w:hAnsi="Cambria Math" w:cs="Arial"/>
          <w:sz w:val="24"/>
          <w:szCs w:val="24"/>
          <w:lang w:eastAsia="id-ID"/>
        </w:rPr>
        <w:t xml:space="preserve"> asimptomatik HPTP</w:t>
      </w:r>
      <w:r w:rsidRPr="001B5A8F">
        <w:rPr>
          <w:rFonts w:ascii="Cambria Math" w:eastAsia="Calibri" w:hAnsi="Cambria Math" w:cs="Arial"/>
          <w:sz w:val="24"/>
          <w:szCs w:val="24"/>
          <w:lang w:eastAsia="id-ID"/>
        </w:rPr>
        <w:t>. Polimorfisme CASR A986S telah</w:t>
      </w:r>
      <w:r>
        <w:rPr>
          <w:rFonts w:ascii="Cambria Math" w:eastAsia="Calibri" w:hAnsi="Cambria Math" w:cs="Arial"/>
          <w:sz w:val="24"/>
          <w:szCs w:val="24"/>
          <w:lang w:eastAsia="id-ID"/>
        </w:rPr>
        <w:t xml:space="preserve"> secara luas dikenali terkait dengan resistensi </w:t>
      </w:r>
      <w:r w:rsidRPr="001B5A8F">
        <w:rPr>
          <w:rFonts w:ascii="Cambria Math" w:eastAsia="Calibri" w:hAnsi="Cambria Math" w:cs="Arial"/>
          <w:sz w:val="24"/>
          <w:szCs w:val="24"/>
          <w:lang w:eastAsia="id-ID"/>
        </w:rPr>
        <w:t>H</w:t>
      </w:r>
      <w:r>
        <w:rPr>
          <w:rFonts w:ascii="Cambria Math" w:eastAsia="Calibri" w:hAnsi="Cambria Math" w:cs="Arial"/>
          <w:sz w:val="24"/>
          <w:szCs w:val="24"/>
          <w:lang w:eastAsia="id-ID"/>
        </w:rPr>
        <w:t>PT</w:t>
      </w:r>
      <w:r w:rsidRPr="001B5A8F">
        <w:rPr>
          <w:rFonts w:ascii="Cambria Math" w:eastAsia="Calibri" w:hAnsi="Cambria Math" w:cs="Arial"/>
          <w:sz w:val="24"/>
          <w:szCs w:val="24"/>
          <w:lang w:eastAsia="id-ID"/>
        </w:rPr>
        <w:t xml:space="preserve"> dan kadar kalsi</w:t>
      </w:r>
      <w:r>
        <w:rPr>
          <w:rFonts w:ascii="Cambria Math" w:eastAsia="Calibri" w:hAnsi="Cambria Math" w:cs="Arial"/>
          <w:sz w:val="24"/>
          <w:szCs w:val="24"/>
          <w:lang w:eastAsia="id-ID"/>
        </w:rPr>
        <w:t>um yang lebih tinggi dalam penelitian</w:t>
      </w:r>
      <w:r w:rsidRPr="001B5A8F">
        <w:rPr>
          <w:rFonts w:ascii="Cambria Math" w:eastAsia="Calibri" w:hAnsi="Cambria Math" w:cs="Arial"/>
          <w:sz w:val="24"/>
          <w:szCs w:val="24"/>
          <w:lang w:eastAsia="id-ID"/>
        </w:rPr>
        <w:t xml:space="preserve"> berbasis populasi.</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Meskipun varian A986S CASR tampaknya tidak menjadi penentu genetik utama untuk</w:t>
      </w:r>
      <w:r>
        <w:rPr>
          <w:rFonts w:ascii="Cambria Math" w:eastAsia="Calibri" w:hAnsi="Cambria Math" w:cs="Arial"/>
          <w:sz w:val="24"/>
          <w:szCs w:val="24"/>
          <w:lang w:eastAsia="id-ID"/>
        </w:rPr>
        <w:t xml:space="preserve"> pembentukan </w:t>
      </w:r>
      <w:r w:rsidRPr="001B5A8F">
        <w:rPr>
          <w:rFonts w:ascii="Cambria Math" w:eastAsia="Calibri" w:hAnsi="Cambria Math" w:cs="Arial"/>
          <w:sz w:val="24"/>
          <w:szCs w:val="24"/>
          <w:lang w:eastAsia="id-ID"/>
        </w:rPr>
        <w:t>HPT</w:t>
      </w:r>
      <w:r>
        <w:rPr>
          <w:rFonts w:ascii="Cambria Math" w:eastAsia="Calibri" w:hAnsi="Cambria Math" w:cs="Arial"/>
          <w:sz w:val="24"/>
          <w:szCs w:val="24"/>
          <w:lang w:eastAsia="id-ID"/>
        </w:rPr>
        <w:t>P</w:t>
      </w:r>
      <w:r w:rsidRPr="001B5A8F">
        <w:rPr>
          <w:rFonts w:ascii="Cambria Math" w:eastAsia="Calibri" w:hAnsi="Cambria Math" w:cs="Arial"/>
          <w:sz w:val="24"/>
          <w:szCs w:val="24"/>
          <w:lang w:eastAsia="id-ID"/>
        </w:rPr>
        <w:t>, bahkan dalam bentuk yang lebi</w:t>
      </w:r>
      <w:r>
        <w:rPr>
          <w:rFonts w:ascii="Cambria Math" w:eastAsia="Calibri" w:hAnsi="Cambria Math" w:cs="Arial"/>
          <w:sz w:val="24"/>
          <w:szCs w:val="24"/>
          <w:lang w:eastAsia="id-ID"/>
        </w:rPr>
        <w:t xml:space="preserve">h awal atau tanpa gejala, </w:t>
      </w:r>
      <w:r w:rsidRPr="001B5A8F">
        <w:rPr>
          <w:rFonts w:ascii="Cambria Math" w:eastAsia="Calibri" w:hAnsi="Cambria Math" w:cs="Arial"/>
          <w:sz w:val="24"/>
          <w:szCs w:val="24"/>
          <w:lang w:eastAsia="id-ID"/>
        </w:rPr>
        <w:t>dalam NPHPT</w:t>
      </w:r>
      <w:r>
        <w:rPr>
          <w:rFonts w:ascii="Cambria Math" w:eastAsia="Calibri" w:hAnsi="Cambria Math" w:cs="Arial"/>
          <w:sz w:val="24"/>
          <w:szCs w:val="24"/>
          <w:lang w:eastAsia="id-ID"/>
        </w:rPr>
        <w:t>, hanya genotip</w:t>
      </w:r>
      <w:r w:rsidRPr="001B5A8F">
        <w:rPr>
          <w:rFonts w:ascii="Cambria Math" w:eastAsia="Calibri" w:hAnsi="Cambria Math" w:cs="Arial"/>
          <w:sz w:val="24"/>
          <w:szCs w:val="24"/>
          <w:lang w:eastAsia="id-ID"/>
        </w:rPr>
        <w:t xml:space="preserve"> A986S adalah prediktor independen</w:t>
      </w:r>
      <w:r>
        <w:rPr>
          <w:rFonts w:ascii="Cambria Math" w:eastAsia="Calibri" w:hAnsi="Cambria Math" w:cs="Arial"/>
          <w:sz w:val="24"/>
          <w:szCs w:val="24"/>
          <w:lang w:eastAsia="id-ID"/>
        </w:rPr>
        <w:t xml:space="preserve"> terhadap kadar </w:t>
      </w:r>
      <w:r w:rsidRPr="001B5A8F">
        <w:rPr>
          <w:rFonts w:ascii="Cambria Math" w:eastAsia="Calibri" w:hAnsi="Cambria Math" w:cs="Arial"/>
          <w:sz w:val="24"/>
          <w:szCs w:val="24"/>
          <w:lang w:eastAsia="id-ID"/>
        </w:rPr>
        <w:t>H</w:t>
      </w:r>
      <w:r>
        <w:rPr>
          <w:rFonts w:ascii="Cambria Math" w:eastAsia="Calibri" w:hAnsi="Cambria Math" w:cs="Arial"/>
          <w:sz w:val="24"/>
          <w:szCs w:val="24"/>
          <w:lang w:eastAsia="id-ID"/>
        </w:rPr>
        <w:t>PT</w:t>
      </w:r>
      <w:r w:rsidRPr="001B5A8F">
        <w:rPr>
          <w:rFonts w:ascii="Cambria Math" w:eastAsia="Calibri" w:hAnsi="Cambria Math" w:cs="Arial"/>
          <w:sz w:val="24"/>
          <w:szCs w:val="24"/>
          <w:lang w:eastAsia="id-ID"/>
        </w:rPr>
        <w:t xml:space="preserve"> bahkan setelah disesuaikan</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untuk faktor perancu utama seperti kadar vitamin D dan konsentrasi kalsi</w:t>
      </w:r>
      <w:r>
        <w:rPr>
          <w:rFonts w:ascii="Cambria Math" w:eastAsia="Calibri" w:hAnsi="Cambria Math" w:cs="Arial"/>
          <w:sz w:val="24"/>
          <w:szCs w:val="24"/>
          <w:lang w:eastAsia="id-ID"/>
        </w:rPr>
        <w:t xml:space="preserve">um serum. Oleh karena itu, kadar </w:t>
      </w:r>
      <w:r w:rsidRPr="001B5A8F">
        <w:rPr>
          <w:rFonts w:ascii="Cambria Math" w:eastAsia="Calibri" w:hAnsi="Cambria Math" w:cs="Arial"/>
          <w:sz w:val="24"/>
          <w:szCs w:val="24"/>
          <w:lang w:eastAsia="id-ID"/>
        </w:rPr>
        <w:t>H</w:t>
      </w:r>
      <w:r>
        <w:rPr>
          <w:rFonts w:ascii="Cambria Math" w:eastAsia="Calibri" w:hAnsi="Cambria Math" w:cs="Arial"/>
          <w:sz w:val="24"/>
          <w:szCs w:val="24"/>
          <w:lang w:eastAsia="id-ID"/>
        </w:rPr>
        <w:t>PT</w:t>
      </w:r>
      <w:r w:rsidRPr="001B5A8F">
        <w:rPr>
          <w:rFonts w:ascii="Cambria Math" w:eastAsia="Calibri" w:hAnsi="Cambria Math" w:cs="Arial"/>
          <w:sz w:val="24"/>
          <w:szCs w:val="24"/>
          <w:lang w:eastAsia="id-ID"/>
        </w:rPr>
        <w:t xml:space="preserve"> dalam NPHPT mungkin sebagian diatur oleh</w:t>
      </w:r>
      <w:r>
        <w:rPr>
          <w:rFonts w:ascii="Cambria Math" w:eastAsia="Calibri" w:hAnsi="Cambria Math" w:cs="Arial"/>
          <w:sz w:val="24"/>
          <w:szCs w:val="24"/>
          <w:lang w:eastAsia="id-ID"/>
        </w:rPr>
        <w:t xml:space="preserve"> </w:t>
      </w:r>
      <w:r w:rsidRPr="001B5A8F">
        <w:rPr>
          <w:rFonts w:ascii="Cambria Math" w:eastAsia="Calibri" w:hAnsi="Cambria Math" w:cs="Arial"/>
          <w:sz w:val="24"/>
          <w:szCs w:val="24"/>
          <w:lang w:eastAsia="id-ID"/>
        </w:rPr>
        <w:t xml:space="preserve">Polimorfisme A986S, </w:t>
      </w:r>
      <w:r>
        <w:rPr>
          <w:rFonts w:ascii="Cambria Math" w:eastAsia="Calibri" w:hAnsi="Cambria Math" w:cs="Arial"/>
          <w:sz w:val="24"/>
          <w:szCs w:val="24"/>
          <w:lang w:eastAsia="id-ID"/>
        </w:rPr>
        <w:t xml:space="preserve">yang </w:t>
      </w:r>
      <w:r w:rsidRPr="001B5A8F">
        <w:rPr>
          <w:rFonts w:ascii="Cambria Math" w:eastAsia="Calibri" w:hAnsi="Cambria Math" w:cs="Arial"/>
          <w:sz w:val="24"/>
          <w:szCs w:val="24"/>
          <w:lang w:eastAsia="id-ID"/>
        </w:rPr>
        <w:t xml:space="preserve">bertindak sebagai faktor resistensi karena kehilangan relatif </w:t>
      </w:r>
      <w:r>
        <w:rPr>
          <w:rFonts w:ascii="Cambria Math" w:eastAsia="Calibri" w:hAnsi="Cambria Math" w:cs="Arial"/>
          <w:sz w:val="24"/>
          <w:szCs w:val="24"/>
          <w:lang w:eastAsia="id-ID"/>
        </w:rPr>
        <w:t xml:space="preserve">fungsi </w:t>
      </w:r>
      <w:r w:rsidRPr="001B5A8F">
        <w:rPr>
          <w:rFonts w:ascii="Cambria Math" w:eastAsia="Calibri" w:hAnsi="Cambria Math" w:cs="Arial"/>
          <w:sz w:val="24"/>
          <w:szCs w:val="24"/>
          <w:lang w:eastAsia="id-ID"/>
        </w:rPr>
        <w:t>CASR</w:t>
      </w:r>
      <w:r>
        <w:rPr>
          <w:rFonts w:ascii="Cambria Math" w:eastAsia="Calibri" w:hAnsi="Cambria Math" w:cs="Arial"/>
          <w:sz w:val="24"/>
          <w:szCs w:val="24"/>
          <w:lang w:eastAsia="id-ID"/>
        </w:rPr>
        <w:t>.</w:t>
      </w:r>
    </w:p>
    <w:p w:rsidR="00B74680" w:rsidRDefault="00B74680" w:rsidP="00B74680">
      <w:pPr>
        <w:autoSpaceDE w:val="0"/>
        <w:autoSpaceDN w:val="0"/>
        <w:adjustRightInd w:val="0"/>
        <w:spacing w:after="0" w:line="360" w:lineRule="auto"/>
        <w:ind w:left="720"/>
        <w:jc w:val="both"/>
        <w:rPr>
          <w:rFonts w:ascii="Cambria Math" w:eastAsia="Calibri" w:hAnsi="Cambria Math" w:cs="Arial"/>
          <w:sz w:val="24"/>
          <w:szCs w:val="24"/>
          <w:lang w:eastAsia="id-ID"/>
        </w:rPr>
      </w:pPr>
      <w:r>
        <w:rPr>
          <w:rFonts w:ascii="Cambria Math" w:eastAsia="Calibri" w:hAnsi="Cambria Math" w:cs="Arial"/>
          <w:sz w:val="24"/>
          <w:szCs w:val="24"/>
          <w:lang w:eastAsia="id-ID"/>
        </w:rPr>
        <w:t xml:space="preserve">Polimorfisme gen </w:t>
      </w:r>
      <w:r w:rsidRPr="001B5A8F">
        <w:rPr>
          <w:rFonts w:ascii="Cambria Math" w:eastAsia="Calibri" w:hAnsi="Cambria Math" w:cs="Arial"/>
          <w:sz w:val="24"/>
          <w:szCs w:val="24"/>
          <w:lang w:eastAsia="id-ID"/>
        </w:rPr>
        <w:t>H</w:t>
      </w:r>
      <w:r>
        <w:rPr>
          <w:rFonts w:ascii="Cambria Math" w:eastAsia="Calibri" w:hAnsi="Cambria Math" w:cs="Arial"/>
          <w:sz w:val="24"/>
          <w:szCs w:val="24"/>
          <w:lang w:eastAsia="id-ID"/>
        </w:rPr>
        <w:t>PT</w:t>
      </w:r>
      <w:r w:rsidRPr="001B5A8F">
        <w:rPr>
          <w:rFonts w:ascii="Cambria Math" w:eastAsia="Calibri" w:hAnsi="Cambria Math" w:cs="Arial"/>
          <w:sz w:val="24"/>
          <w:szCs w:val="24"/>
          <w:lang w:eastAsia="id-ID"/>
        </w:rPr>
        <w:t xml:space="preserve"> telah dikaitkan dengan keparahan penyakit</w:t>
      </w:r>
      <w:r>
        <w:rPr>
          <w:rFonts w:ascii="Cambria Math" w:eastAsia="Calibri" w:hAnsi="Cambria Math" w:cs="Arial"/>
          <w:sz w:val="24"/>
          <w:szCs w:val="24"/>
          <w:lang w:eastAsia="id-ID"/>
        </w:rPr>
        <w:t xml:space="preserve"> HPTP klasik. </w:t>
      </w:r>
      <w:r w:rsidRPr="001B5A8F">
        <w:rPr>
          <w:rFonts w:ascii="Cambria Math" w:eastAsia="Calibri" w:hAnsi="Cambria Math" w:cs="Arial"/>
          <w:sz w:val="24"/>
          <w:szCs w:val="24"/>
          <w:lang w:eastAsia="id-ID"/>
        </w:rPr>
        <w:t xml:space="preserve">Pada pasien </w:t>
      </w:r>
      <w:r>
        <w:rPr>
          <w:rFonts w:ascii="Cambria Math" w:eastAsia="Calibri" w:hAnsi="Cambria Math" w:cs="Arial"/>
          <w:sz w:val="24"/>
          <w:szCs w:val="24"/>
          <w:lang w:eastAsia="id-ID"/>
        </w:rPr>
        <w:t>asimptomatik HPTP</w:t>
      </w:r>
      <w:r w:rsidRPr="001B5A8F">
        <w:rPr>
          <w:rFonts w:ascii="Cambria Math" w:eastAsia="Calibri" w:hAnsi="Cambria Math" w:cs="Arial"/>
          <w:sz w:val="24"/>
          <w:szCs w:val="24"/>
          <w:lang w:eastAsia="id-ID"/>
        </w:rPr>
        <w:t>, genotip GG dari polimorfisme rs6254GA</w:t>
      </w:r>
      <w:r>
        <w:rPr>
          <w:rFonts w:ascii="Cambria Math" w:eastAsia="Calibri" w:hAnsi="Cambria Math" w:cs="Arial"/>
          <w:sz w:val="24"/>
          <w:szCs w:val="24"/>
          <w:lang w:eastAsia="id-ID"/>
        </w:rPr>
        <w:t xml:space="preserve"> dikaitkan dengan tingkat </w:t>
      </w:r>
      <w:r w:rsidRPr="001B5A8F">
        <w:rPr>
          <w:rFonts w:ascii="Cambria Math" w:eastAsia="Calibri" w:hAnsi="Cambria Math" w:cs="Arial"/>
          <w:sz w:val="24"/>
          <w:szCs w:val="24"/>
          <w:lang w:eastAsia="id-ID"/>
        </w:rPr>
        <w:t>H</w:t>
      </w:r>
      <w:r>
        <w:rPr>
          <w:rFonts w:ascii="Cambria Math" w:eastAsia="Calibri" w:hAnsi="Cambria Math" w:cs="Arial"/>
          <w:sz w:val="24"/>
          <w:szCs w:val="24"/>
          <w:lang w:eastAsia="id-ID"/>
        </w:rPr>
        <w:t>PT</w:t>
      </w:r>
      <w:r w:rsidRPr="001B5A8F">
        <w:rPr>
          <w:rFonts w:ascii="Cambria Math" w:eastAsia="Calibri" w:hAnsi="Cambria Math" w:cs="Arial"/>
          <w:sz w:val="24"/>
          <w:szCs w:val="24"/>
          <w:lang w:eastAsia="id-ID"/>
        </w:rPr>
        <w:t xml:space="preserve"> yang secara signifikan lebih tinggi dan</w:t>
      </w:r>
      <w:r>
        <w:rPr>
          <w:rFonts w:ascii="Cambria Math" w:eastAsia="Calibri" w:hAnsi="Cambria Math" w:cs="Arial"/>
          <w:sz w:val="24"/>
          <w:szCs w:val="24"/>
          <w:lang w:eastAsia="id-ID"/>
        </w:rPr>
        <w:t xml:space="preserve"> BMD yang lebih rendah pada femoral neck, proximal femur dan lumbar spine. Keterkaitan ini </w:t>
      </w:r>
      <w:r w:rsidRPr="001B5A8F">
        <w:rPr>
          <w:rFonts w:ascii="Cambria Math" w:eastAsia="Calibri" w:hAnsi="Cambria Math" w:cs="Arial"/>
          <w:sz w:val="24"/>
          <w:szCs w:val="24"/>
          <w:lang w:eastAsia="id-ID"/>
        </w:rPr>
        <w:t>gag</w:t>
      </w:r>
      <w:r>
        <w:rPr>
          <w:rFonts w:ascii="Cambria Math" w:eastAsia="Calibri" w:hAnsi="Cambria Math" w:cs="Arial"/>
          <w:sz w:val="24"/>
          <w:szCs w:val="24"/>
          <w:lang w:eastAsia="id-ID"/>
        </w:rPr>
        <w:t>al ditunjukkan pada pasien NHPTP</w:t>
      </w:r>
      <w:r>
        <w:rPr>
          <w:rFonts w:ascii="Cambria Math" w:eastAsia="Calibri" w:hAnsi="Cambria Math" w:cs="Arial"/>
          <w:sz w:val="24"/>
          <w:szCs w:val="24"/>
          <w:vertAlign w:val="superscript"/>
          <w:lang w:eastAsia="id-ID"/>
        </w:rPr>
        <w:t>(3)</w:t>
      </w:r>
      <w:r>
        <w:rPr>
          <w:rFonts w:ascii="Cambria Math" w:eastAsia="Calibri" w:hAnsi="Cambria Math" w:cs="Arial"/>
          <w:sz w:val="24"/>
          <w:szCs w:val="24"/>
          <w:lang w:eastAsia="id-ID"/>
        </w:rPr>
        <w:t>.</w:t>
      </w:r>
    </w:p>
    <w:p w:rsidR="00B74680" w:rsidRDefault="00B74680" w:rsidP="00B74680">
      <w:pPr>
        <w:autoSpaceDE w:val="0"/>
        <w:autoSpaceDN w:val="0"/>
        <w:adjustRightInd w:val="0"/>
        <w:spacing w:after="0" w:line="360" w:lineRule="auto"/>
        <w:jc w:val="both"/>
        <w:rPr>
          <w:rFonts w:ascii="Cambria Math" w:eastAsia="Calibri" w:hAnsi="Cambria Math" w:cs="Arial"/>
          <w:sz w:val="24"/>
          <w:szCs w:val="24"/>
          <w:lang w:eastAsia="id-ID"/>
        </w:rPr>
      </w:pP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t xml:space="preserve">Pada pasien ini terjadi peningkatan kadar HPT yang tidak diikuti dengan peningkatan kadar kalsium.  Pasien ini memiliki kadar kalsium yang normal yaitu </w:t>
      </w:r>
      <w:r w:rsidRPr="007C7E08">
        <w:rPr>
          <w:rFonts w:ascii="Cambria Math" w:eastAsia="Calibri" w:hAnsi="Cambria Math" w:cs="Arial"/>
          <w:sz w:val="24"/>
          <w:szCs w:val="24"/>
          <w:lang w:val="id-ID" w:eastAsia="id-ID"/>
        </w:rPr>
        <w:t>9,8 (8,3 – 10,6 mg/dL)</w:t>
      </w:r>
      <w:r>
        <w:rPr>
          <w:rFonts w:ascii="Cambria Math" w:eastAsia="Calibri" w:hAnsi="Cambria Math" w:cs="Arial"/>
          <w:sz w:val="24"/>
          <w:szCs w:val="24"/>
          <w:lang w:eastAsia="id-ID"/>
        </w:rPr>
        <w:t xml:space="preserve">. Tidak ditemukan data sebelumnya mengenai kadar hormon paratiroid dan kalsium, karena pasien tidak pernah melakukan pemeriksaan ke dokter sebelumnya. </w:t>
      </w: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t>Pada HPTP, memiliki resiko untuk terjadinya kadar 25 hydroxyvitamin D serum yang lebih rendah. Penelitian yang dilakukan oleh Kantorovitch dkk, dimana melibatkan 229 pasien yang dirujuk untuk evaluasi terhadap terjadinya BMD yang rendah</w:t>
      </w:r>
      <w:r w:rsidR="000A269D">
        <w:rPr>
          <w:rFonts w:ascii="Cambria Math" w:eastAsia="Calibri" w:hAnsi="Cambria Math" w:cs="Arial"/>
          <w:sz w:val="24"/>
          <w:szCs w:val="24"/>
          <w:lang w:eastAsia="id-ID"/>
        </w:rPr>
        <w:t xml:space="preserve"> </w:t>
      </w:r>
      <w:r>
        <w:rPr>
          <w:rFonts w:ascii="Cambria Math" w:eastAsia="Calibri" w:hAnsi="Cambria Math" w:cs="Arial"/>
          <w:sz w:val="24"/>
          <w:szCs w:val="24"/>
          <w:lang w:eastAsia="id-ID"/>
        </w:rPr>
        <w:lastRenderedPageBreak/>
        <w:t>menunjukkan prevalensi sebesar 2,2% terjadinya koeksistensi defisiensi vitamin D dan HPTP pada populasi tersebut</w:t>
      </w:r>
      <w:r>
        <w:rPr>
          <w:rFonts w:ascii="Cambria Math" w:eastAsia="Calibri" w:hAnsi="Cambria Math" w:cs="Arial"/>
          <w:sz w:val="24"/>
          <w:szCs w:val="24"/>
          <w:vertAlign w:val="superscript"/>
          <w:lang w:eastAsia="id-ID"/>
        </w:rPr>
        <w:t>(6)</w:t>
      </w:r>
      <w:r>
        <w:rPr>
          <w:rFonts w:ascii="Cambria Math" w:eastAsia="Calibri" w:hAnsi="Cambria Math" w:cs="Arial"/>
          <w:sz w:val="24"/>
          <w:szCs w:val="24"/>
          <w:lang w:eastAsia="id-ID"/>
        </w:rPr>
        <w:t xml:space="preserve">. Penelitian lain yang dilakukan oleh Battista dkk mendapatkan bahwa hypovitaminosis D adalah hal yang biasa didapatkan pada HPTP. Pada penelitian tersebut mereka menilai kadar total 25 hydroxyvitamin D (TotalD) dan vitamin D binding protein (DBP) pada 49 pasien dengan HPTP dibandingkan dengan </w:t>
      </w:r>
      <w:r w:rsidRPr="00F03AF3">
        <w:rPr>
          <w:rFonts w:ascii="Cambria Math" w:eastAsia="Calibri" w:hAnsi="Cambria Math" w:cs="Arial"/>
          <w:i/>
          <w:sz w:val="24"/>
          <w:szCs w:val="24"/>
          <w:lang w:eastAsia="id-ID"/>
        </w:rPr>
        <w:t xml:space="preserve">first degree relatives </w:t>
      </w:r>
      <w:r w:rsidRPr="00F03AF3">
        <w:rPr>
          <w:rFonts w:ascii="Cambria Math" w:eastAsia="Calibri" w:hAnsi="Cambria Math" w:cs="Arial"/>
          <w:sz w:val="24"/>
          <w:szCs w:val="24"/>
          <w:lang w:eastAsia="id-ID"/>
        </w:rPr>
        <w:t>(FDR)</w:t>
      </w:r>
      <w:r w:rsidRPr="00F03AF3">
        <w:rPr>
          <w:rFonts w:ascii="Cambria Math" w:eastAsia="Calibri" w:hAnsi="Cambria Math" w:cs="Arial"/>
          <w:i/>
          <w:sz w:val="24"/>
          <w:szCs w:val="24"/>
          <w:lang w:eastAsia="id-ID"/>
        </w:rPr>
        <w:t xml:space="preserve"> </w:t>
      </w:r>
      <w:r w:rsidRPr="00F03AF3">
        <w:rPr>
          <w:rFonts w:ascii="Cambria Math" w:eastAsia="Calibri" w:hAnsi="Cambria Math" w:cs="Arial"/>
          <w:sz w:val="24"/>
          <w:szCs w:val="24"/>
          <w:lang w:eastAsia="id-ID"/>
        </w:rPr>
        <w:t>dan</w:t>
      </w:r>
      <w:r w:rsidRPr="00F03AF3">
        <w:rPr>
          <w:rFonts w:ascii="Cambria Math" w:eastAsia="Calibri" w:hAnsi="Cambria Math" w:cs="Arial"/>
          <w:i/>
          <w:sz w:val="24"/>
          <w:szCs w:val="24"/>
          <w:lang w:eastAsia="id-ID"/>
        </w:rPr>
        <w:t xml:space="preserve"> in-law relatives</w:t>
      </w:r>
      <w:r>
        <w:rPr>
          <w:rFonts w:ascii="Cambria Math" w:eastAsia="Calibri" w:hAnsi="Cambria Math" w:cs="Arial"/>
          <w:sz w:val="24"/>
          <w:szCs w:val="24"/>
          <w:lang w:eastAsia="id-ID"/>
        </w:rPr>
        <w:t xml:space="preserve"> (ILR) dimana didapatkan hasil bahwa pada kelompok HPTP memiliki kadar TotalD dan DBP yang lebih rendah dibandingkan kelompok yang lain</w:t>
      </w:r>
      <w:r>
        <w:rPr>
          <w:rFonts w:ascii="Cambria Math" w:eastAsia="Calibri" w:hAnsi="Cambria Math" w:cs="Arial"/>
          <w:sz w:val="24"/>
          <w:szCs w:val="24"/>
          <w:vertAlign w:val="superscript"/>
          <w:lang w:eastAsia="id-ID"/>
        </w:rPr>
        <w:t>(7)</w:t>
      </w:r>
      <w:r>
        <w:rPr>
          <w:rFonts w:ascii="Cambria Math" w:eastAsia="Calibri" w:hAnsi="Cambria Math" w:cs="Arial"/>
          <w:sz w:val="24"/>
          <w:szCs w:val="24"/>
          <w:lang w:eastAsia="id-ID"/>
        </w:rPr>
        <w:t>.  Hal ini mungkin disebabkan karena efek kerja HPT terhadap metabolisme vitamin D. HPT akan menstimulasi enzim 1-alpha hydroxylase yang akan meningkatkan terjadinya konversi 25-hydroxyvitamin D menjadi metabolit aktifnya yaitu 1,25 dihydroxyvitamin D sehingga akan menguras penyimpanan dari 25 hydroxyvitamin D</w:t>
      </w:r>
      <w:r>
        <w:rPr>
          <w:rFonts w:ascii="Cambria Math" w:eastAsia="Calibri" w:hAnsi="Cambria Math" w:cs="Arial"/>
          <w:sz w:val="24"/>
          <w:szCs w:val="24"/>
          <w:vertAlign w:val="superscript"/>
          <w:lang w:eastAsia="id-ID"/>
        </w:rPr>
        <w:t>(5)</w:t>
      </w:r>
      <w:r>
        <w:rPr>
          <w:rFonts w:ascii="Cambria Math" w:eastAsia="Calibri" w:hAnsi="Cambria Math" w:cs="Arial"/>
          <w:sz w:val="24"/>
          <w:szCs w:val="24"/>
          <w:lang w:eastAsia="id-ID"/>
        </w:rPr>
        <w:t>. Peningkatan kadar 1,25 dihydroxyvoitamin D juga akan menyebabkan terjadinya percepatan waktu paruh dari 25 hydroxyvitamin D, dimana berarti akan mempercepat inaktifasi metabolik dari 25 hydroxyvitamin D. Pengamatan pada tikus coba menunjukkan bahwa pemberian subkutan dari 1,25 dihydroxyvitamin D secara cepat akan menstimulasi inaktifasi di hati dan ekskresi bilier dari 25 hydroxyvitamin D serta percepatan eliminasinya dari plasma</w:t>
      </w:r>
      <w:r>
        <w:rPr>
          <w:rFonts w:ascii="Cambria Math" w:eastAsia="Calibri" w:hAnsi="Cambria Math" w:cs="Arial"/>
          <w:sz w:val="24"/>
          <w:szCs w:val="24"/>
          <w:vertAlign w:val="superscript"/>
          <w:lang w:eastAsia="id-ID"/>
        </w:rPr>
        <w:t>(8,9)</w:t>
      </w:r>
      <w:r>
        <w:rPr>
          <w:rFonts w:ascii="Cambria Math" w:eastAsia="Calibri" w:hAnsi="Cambria Math" w:cs="Arial"/>
          <w:sz w:val="24"/>
          <w:szCs w:val="24"/>
          <w:lang w:eastAsia="id-ID"/>
        </w:rPr>
        <w:t xml:space="preserve">. </w:t>
      </w: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t>Faktor genetik dapat mempengaruhi kadar vitamin D. Selain itu variasi musim</w:t>
      </w:r>
      <w:r w:rsidRPr="004E5056">
        <w:rPr>
          <w:rFonts w:ascii="Cambria Math" w:eastAsia="Calibri" w:hAnsi="Cambria Math" w:cs="Arial"/>
          <w:sz w:val="24"/>
          <w:szCs w:val="24"/>
          <w:lang w:eastAsia="id-ID"/>
        </w:rPr>
        <w:t xml:space="preserve"> </w:t>
      </w:r>
      <w:r>
        <w:rPr>
          <w:rFonts w:ascii="Cambria Math" w:eastAsia="Calibri" w:hAnsi="Cambria Math" w:cs="Arial"/>
          <w:sz w:val="24"/>
          <w:szCs w:val="24"/>
          <w:lang w:eastAsia="id-ID"/>
        </w:rPr>
        <w:t xml:space="preserve">juga </w:t>
      </w:r>
      <w:r w:rsidRPr="004E5056">
        <w:rPr>
          <w:rFonts w:ascii="Cambria Math" w:eastAsia="Calibri" w:hAnsi="Cambria Math" w:cs="Arial"/>
          <w:sz w:val="24"/>
          <w:szCs w:val="24"/>
          <w:lang w:eastAsia="id-ID"/>
        </w:rPr>
        <w:t>penting dalam</w:t>
      </w:r>
      <w:r>
        <w:rPr>
          <w:rFonts w:ascii="Cambria Math" w:eastAsia="Calibri" w:hAnsi="Cambria Math" w:cs="Arial"/>
          <w:sz w:val="24"/>
          <w:szCs w:val="24"/>
          <w:lang w:eastAsia="id-ID"/>
        </w:rPr>
        <w:t xml:space="preserve"> pembentukan</w:t>
      </w:r>
      <w:r w:rsidRPr="004E5056">
        <w:rPr>
          <w:rFonts w:ascii="Cambria Math" w:eastAsia="Calibri" w:hAnsi="Cambria Math" w:cs="Arial"/>
          <w:sz w:val="24"/>
          <w:szCs w:val="24"/>
          <w:lang w:eastAsia="id-ID"/>
        </w:rPr>
        <w:t xml:space="preserve"> kadar metabolit ini</w:t>
      </w:r>
      <w:r>
        <w:rPr>
          <w:rFonts w:ascii="Cambria Math" w:eastAsia="Calibri" w:hAnsi="Cambria Math" w:cs="Arial"/>
          <w:sz w:val="24"/>
          <w:szCs w:val="24"/>
          <w:lang w:eastAsia="id-ID"/>
        </w:rPr>
        <w:t xml:space="preserve">, </w:t>
      </w:r>
      <w:r w:rsidRPr="004E5056">
        <w:rPr>
          <w:rFonts w:ascii="Cambria Math" w:eastAsia="Calibri" w:hAnsi="Cambria Math" w:cs="Arial"/>
          <w:sz w:val="24"/>
          <w:szCs w:val="24"/>
          <w:lang w:eastAsia="id-ID"/>
        </w:rPr>
        <w:t xml:space="preserve"> karena</w:t>
      </w:r>
      <w:r>
        <w:rPr>
          <w:rFonts w:ascii="Cambria Math" w:eastAsia="Calibri" w:hAnsi="Cambria Math" w:cs="Arial"/>
          <w:sz w:val="24"/>
          <w:szCs w:val="24"/>
          <w:lang w:eastAsia="id-ID"/>
        </w:rPr>
        <w:t xml:space="preserve"> akan didapat kadar yang berbeda dengan derajat paparan sinar matahari yang berbeda pula. K</w:t>
      </w:r>
      <w:r w:rsidRPr="004E5056">
        <w:rPr>
          <w:rFonts w:ascii="Cambria Math" w:eastAsia="Calibri" w:hAnsi="Cambria Math" w:cs="Arial"/>
          <w:sz w:val="24"/>
          <w:szCs w:val="24"/>
          <w:lang w:eastAsia="id-ID"/>
        </w:rPr>
        <w:t xml:space="preserve">omponen </w:t>
      </w:r>
      <w:r>
        <w:rPr>
          <w:rFonts w:ascii="Cambria Math" w:eastAsia="Calibri" w:hAnsi="Cambria Math" w:cs="Arial"/>
          <w:sz w:val="24"/>
          <w:szCs w:val="24"/>
          <w:lang w:eastAsia="id-ID"/>
        </w:rPr>
        <w:t xml:space="preserve">genetik memiliki pengaruh yang kuat sebesar </w:t>
      </w:r>
      <w:r w:rsidRPr="004E5056">
        <w:rPr>
          <w:rFonts w:ascii="Cambria Math" w:eastAsia="Calibri" w:hAnsi="Cambria Math" w:cs="Arial"/>
          <w:sz w:val="24"/>
          <w:szCs w:val="24"/>
          <w:lang w:eastAsia="id-ID"/>
        </w:rPr>
        <w:t>43%, meskipun diketahui faktor lingkungan umum (efe</w:t>
      </w:r>
      <w:r>
        <w:rPr>
          <w:rFonts w:ascii="Cambria Math" w:eastAsia="Calibri" w:hAnsi="Cambria Math" w:cs="Arial"/>
          <w:sz w:val="24"/>
          <w:szCs w:val="24"/>
          <w:lang w:eastAsia="id-ID"/>
        </w:rPr>
        <w:t>k sinar matahari dan diet) memiliki kontribusi sebesar 27%. T</w:t>
      </w:r>
      <w:r w:rsidRPr="004E5056">
        <w:rPr>
          <w:rFonts w:ascii="Cambria Math" w:eastAsia="Calibri" w:hAnsi="Cambria Math" w:cs="Arial"/>
          <w:sz w:val="24"/>
          <w:szCs w:val="24"/>
          <w:lang w:eastAsia="id-ID"/>
        </w:rPr>
        <w:t>otal</w:t>
      </w:r>
      <w:r>
        <w:rPr>
          <w:rFonts w:ascii="Cambria Math" w:eastAsia="Calibri" w:hAnsi="Cambria Math" w:cs="Arial"/>
          <w:sz w:val="24"/>
          <w:szCs w:val="24"/>
          <w:lang w:eastAsia="id-ID"/>
        </w:rPr>
        <w:t xml:space="preserve"> varians akan</w:t>
      </w:r>
      <w:r w:rsidRPr="004E5056">
        <w:rPr>
          <w:rFonts w:ascii="Cambria Math" w:eastAsia="Calibri" w:hAnsi="Cambria Math" w:cs="Arial"/>
          <w:sz w:val="24"/>
          <w:szCs w:val="24"/>
          <w:lang w:eastAsia="id-ID"/>
        </w:rPr>
        <w:t xml:space="preserve"> menurun setelah menopause karena berkurangnya pengaruh genetik dan lingkungan umum</w:t>
      </w:r>
      <w:r>
        <w:rPr>
          <w:rFonts w:ascii="Cambria Math" w:eastAsia="Calibri" w:hAnsi="Cambria Math" w:cs="Arial"/>
          <w:sz w:val="24"/>
          <w:szCs w:val="24"/>
          <w:vertAlign w:val="superscript"/>
          <w:lang w:eastAsia="id-ID"/>
        </w:rPr>
        <w:t>(10)</w:t>
      </w:r>
      <w:r w:rsidRPr="004E5056">
        <w:rPr>
          <w:rFonts w:ascii="Cambria Math" w:eastAsia="Calibri" w:hAnsi="Cambria Math" w:cs="Arial"/>
          <w:sz w:val="24"/>
          <w:szCs w:val="24"/>
          <w:lang w:eastAsia="id-ID"/>
        </w:rPr>
        <w:t xml:space="preserve">. </w:t>
      </w:r>
    </w:p>
    <w:p w:rsidR="00B74680" w:rsidRDefault="00B74680" w:rsidP="000A269D">
      <w:pPr>
        <w:pStyle w:val="NoSpacing"/>
        <w:ind w:firstLine="720"/>
        <w:jc w:val="both"/>
        <w:rPr>
          <w:rFonts w:ascii="Cambria Math" w:hAnsi="Cambria Math"/>
          <w:sz w:val="24"/>
          <w:vertAlign w:val="superscript"/>
          <w:lang w:eastAsia="id-ID"/>
        </w:rPr>
      </w:pPr>
      <w:r w:rsidRPr="000A269D">
        <w:rPr>
          <w:rFonts w:ascii="Cambria Math" w:hAnsi="Cambria Math"/>
          <w:i/>
          <w:sz w:val="24"/>
          <w:lang w:eastAsia="id-ID"/>
        </w:rPr>
        <w:t>The Food and Nutrition Board dari Institute of Medicine</w:t>
      </w:r>
      <w:r w:rsidRPr="000A269D">
        <w:rPr>
          <w:rFonts w:ascii="Cambria Math" w:hAnsi="Cambria Math"/>
          <w:sz w:val="24"/>
          <w:lang w:eastAsia="id-ID"/>
        </w:rPr>
        <w:t xml:space="preserve"> (IOM) baru-baru ini memperbarui </w:t>
      </w:r>
      <w:r w:rsidRPr="000A269D">
        <w:rPr>
          <w:rFonts w:ascii="Cambria Math" w:hAnsi="Cambria Math"/>
          <w:i/>
          <w:sz w:val="24"/>
          <w:lang w:eastAsia="id-ID"/>
        </w:rPr>
        <w:t>Dietary Reference Intake</w:t>
      </w:r>
      <w:r w:rsidRPr="000A269D">
        <w:rPr>
          <w:rFonts w:ascii="Cambria Math" w:hAnsi="Cambria Math"/>
          <w:sz w:val="24"/>
          <w:lang w:eastAsia="id-ID"/>
        </w:rPr>
        <w:t xml:space="preserve"> (DRI) untuk vitamin D, sebagaimana tercantum dalam tabel di bawah ini:</w:t>
      </w:r>
      <w:r w:rsidRPr="000A269D">
        <w:rPr>
          <w:rFonts w:ascii="Cambria Math" w:hAnsi="Cambria Math"/>
          <w:sz w:val="24"/>
          <w:vertAlign w:val="superscript"/>
          <w:lang w:eastAsia="id-ID"/>
        </w:rPr>
        <w:t>(11)</w:t>
      </w:r>
    </w:p>
    <w:p w:rsidR="000A269D" w:rsidRPr="000A269D" w:rsidRDefault="000A269D" w:rsidP="000A269D">
      <w:pPr>
        <w:pStyle w:val="NoSpacing"/>
        <w:jc w:val="both"/>
        <w:rPr>
          <w:rFonts w:ascii="Cambria Math" w:hAnsi="Cambria Math"/>
          <w:sz w:val="24"/>
          <w:vertAlign w:val="superscript"/>
          <w:lang w:eastAsia="id-ID"/>
        </w:rPr>
      </w:pPr>
    </w:p>
    <w:tbl>
      <w:tblPr>
        <w:tblStyle w:val="TableGrid"/>
        <w:tblW w:w="0" w:type="auto"/>
        <w:jc w:val="center"/>
        <w:tblLook w:val="04A0" w:firstRow="1" w:lastRow="0" w:firstColumn="1" w:lastColumn="0" w:noHBand="0" w:noVBand="1"/>
      </w:tblPr>
      <w:tblGrid>
        <w:gridCol w:w="3870"/>
        <w:gridCol w:w="3600"/>
      </w:tblGrid>
      <w:tr w:rsidR="00B74680" w:rsidTr="000A269D">
        <w:trPr>
          <w:jc w:val="center"/>
        </w:trPr>
        <w:tc>
          <w:tcPr>
            <w:tcW w:w="7470" w:type="dxa"/>
            <w:gridSpan w:val="2"/>
          </w:tcPr>
          <w:p w:rsidR="00B74680" w:rsidRPr="000A269D" w:rsidRDefault="00B74680" w:rsidP="000A269D">
            <w:pPr>
              <w:pStyle w:val="NoSpacing"/>
              <w:rPr>
                <w:rFonts w:ascii="Bookman Old Style" w:hAnsi="Bookman Old Style"/>
                <w:sz w:val="20"/>
              </w:rPr>
            </w:pPr>
            <w:r w:rsidRPr="000A269D">
              <w:rPr>
                <w:rFonts w:ascii="Bookman Old Style" w:hAnsi="Bookman Old Style"/>
                <w:sz w:val="20"/>
              </w:rPr>
              <w:t>Categorization of Vitamin D Levels</w:t>
            </w:r>
          </w:p>
        </w:tc>
      </w:tr>
      <w:tr w:rsidR="00B74680" w:rsidTr="000A269D">
        <w:trPr>
          <w:jc w:val="center"/>
        </w:trPr>
        <w:tc>
          <w:tcPr>
            <w:tcW w:w="3870" w:type="dxa"/>
          </w:tcPr>
          <w:p w:rsidR="00B74680" w:rsidRPr="000A269D" w:rsidRDefault="00B74680" w:rsidP="00132710">
            <w:pPr>
              <w:pStyle w:val="ListParagraph"/>
              <w:spacing w:line="360" w:lineRule="auto"/>
              <w:ind w:left="0"/>
              <w:rPr>
                <w:rFonts w:ascii="Bookman Old Style" w:hAnsi="Bookman Old Style"/>
                <w:sz w:val="20"/>
                <w:szCs w:val="24"/>
              </w:rPr>
            </w:pPr>
            <w:r w:rsidRPr="000A269D">
              <w:rPr>
                <w:rFonts w:ascii="Bookman Old Style" w:hAnsi="Bookman Old Style"/>
                <w:sz w:val="20"/>
                <w:szCs w:val="24"/>
              </w:rPr>
              <w:t>&lt; 10 ng/ml</w:t>
            </w:r>
          </w:p>
        </w:tc>
        <w:tc>
          <w:tcPr>
            <w:tcW w:w="3600" w:type="dxa"/>
          </w:tcPr>
          <w:p w:rsidR="00B74680" w:rsidRPr="000A269D" w:rsidRDefault="00B74680" w:rsidP="00132710">
            <w:pPr>
              <w:pStyle w:val="ListParagraph"/>
              <w:spacing w:line="360" w:lineRule="auto"/>
              <w:ind w:left="0"/>
              <w:rPr>
                <w:rFonts w:ascii="Bookman Old Style" w:hAnsi="Bookman Old Style"/>
                <w:sz w:val="20"/>
                <w:szCs w:val="24"/>
              </w:rPr>
            </w:pPr>
            <w:r w:rsidRPr="000A269D">
              <w:rPr>
                <w:rFonts w:ascii="Bookman Old Style" w:hAnsi="Bookman Old Style"/>
                <w:sz w:val="20"/>
                <w:szCs w:val="24"/>
              </w:rPr>
              <w:t>Severe deficiency</w:t>
            </w:r>
          </w:p>
        </w:tc>
      </w:tr>
      <w:tr w:rsidR="00B74680" w:rsidTr="000A269D">
        <w:trPr>
          <w:jc w:val="center"/>
        </w:trPr>
        <w:tc>
          <w:tcPr>
            <w:tcW w:w="3870" w:type="dxa"/>
          </w:tcPr>
          <w:p w:rsidR="00B74680" w:rsidRPr="000A269D" w:rsidRDefault="00B74680" w:rsidP="00132710">
            <w:pPr>
              <w:pStyle w:val="ListParagraph"/>
              <w:spacing w:line="360" w:lineRule="auto"/>
              <w:ind w:left="0"/>
              <w:rPr>
                <w:rFonts w:ascii="Bookman Old Style" w:hAnsi="Bookman Old Style"/>
                <w:sz w:val="20"/>
                <w:szCs w:val="24"/>
              </w:rPr>
            </w:pPr>
            <w:r w:rsidRPr="000A269D">
              <w:rPr>
                <w:rFonts w:ascii="Bookman Old Style" w:hAnsi="Bookman Old Style"/>
                <w:sz w:val="20"/>
                <w:szCs w:val="24"/>
              </w:rPr>
              <w:t>10 – 24 ng/ml</w:t>
            </w:r>
          </w:p>
        </w:tc>
        <w:tc>
          <w:tcPr>
            <w:tcW w:w="3600" w:type="dxa"/>
          </w:tcPr>
          <w:p w:rsidR="00B74680" w:rsidRPr="000A269D" w:rsidRDefault="00B74680" w:rsidP="00132710">
            <w:pPr>
              <w:pStyle w:val="ListParagraph"/>
              <w:spacing w:line="360" w:lineRule="auto"/>
              <w:ind w:left="0"/>
              <w:rPr>
                <w:rFonts w:ascii="Bookman Old Style" w:hAnsi="Bookman Old Style"/>
                <w:sz w:val="20"/>
                <w:szCs w:val="24"/>
              </w:rPr>
            </w:pPr>
            <w:r w:rsidRPr="000A269D">
              <w:rPr>
                <w:rFonts w:ascii="Bookman Old Style" w:hAnsi="Bookman Old Style"/>
                <w:sz w:val="20"/>
                <w:szCs w:val="24"/>
              </w:rPr>
              <w:t>Mild to moderate deficiency</w:t>
            </w:r>
          </w:p>
        </w:tc>
      </w:tr>
      <w:tr w:rsidR="00B74680" w:rsidTr="000A269D">
        <w:trPr>
          <w:jc w:val="center"/>
        </w:trPr>
        <w:tc>
          <w:tcPr>
            <w:tcW w:w="3870" w:type="dxa"/>
          </w:tcPr>
          <w:p w:rsidR="00B74680" w:rsidRPr="000A269D" w:rsidRDefault="00B74680" w:rsidP="00132710">
            <w:pPr>
              <w:spacing w:line="360" w:lineRule="auto"/>
              <w:rPr>
                <w:rFonts w:ascii="Bookman Old Style" w:hAnsi="Bookman Old Style"/>
                <w:sz w:val="20"/>
                <w:szCs w:val="24"/>
              </w:rPr>
            </w:pPr>
            <w:r w:rsidRPr="000A269D">
              <w:rPr>
                <w:rFonts w:ascii="Bookman Old Style" w:hAnsi="Bookman Old Style"/>
                <w:sz w:val="20"/>
                <w:szCs w:val="24"/>
              </w:rPr>
              <w:t>25 – 80 ng/ml</w:t>
            </w:r>
          </w:p>
        </w:tc>
        <w:tc>
          <w:tcPr>
            <w:tcW w:w="3600" w:type="dxa"/>
          </w:tcPr>
          <w:p w:rsidR="00B74680" w:rsidRPr="000A269D" w:rsidRDefault="00B74680" w:rsidP="00132710">
            <w:pPr>
              <w:pStyle w:val="ListParagraph"/>
              <w:spacing w:line="360" w:lineRule="auto"/>
              <w:ind w:left="0"/>
              <w:rPr>
                <w:rFonts w:ascii="Bookman Old Style" w:hAnsi="Bookman Old Style"/>
                <w:sz w:val="20"/>
                <w:szCs w:val="24"/>
              </w:rPr>
            </w:pPr>
            <w:r w:rsidRPr="000A269D">
              <w:rPr>
                <w:rFonts w:ascii="Bookman Old Style" w:hAnsi="Bookman Old Style"/>
                <w:sz w:val="20"/>
                <w:szCs w:val="24"/>
              </w:rPr>
              <w:t>Optimal Levels</w:t>
            </w:r>
          </w:p>
        </w:tc>
      </w:tr>
      <w:tr w:rsidR="00B74680" w:rsidTr="000A269D">
        <w:trPr>
          <w:jc w:val="center"/>
        </w:trPr>
        <w:tc>
          <w:tcPr>
            <w:tcW w:w="3870" w:type="dxa"/>
          </w:tcPr>
          <w:p w:rsidR="00B74680" w:rsidRPr="000A269D" w:rsidRDefault="00B74680" w:rsidP="00132710">
            <w:pPr>
              <w:spacing w:line="360" w:lineRule="auto"/>
              <w:ind w:left="270" w:hanging="270"/>
              <w:rPr>
                <w:rFonts w:ascii="Bookman Old Style" w:hAnsi="Bookman Old Style"/>
                <w:sz w:val="20"/>
                <w:szCs w:val="24"/>
              </w:rPr>
            </w:pPr>
            <w:r w:rsidRPr="000A269D">
              <w:rPr>
                <w:rFonts w:ascii="Bookman Old Style" w:hAnsi="Bookman Old Style"/>
                <w:sz w:val="20"/>
                <w:szCs w:val="24"/>
              </w:rPr>
              <w:t>&gt;80 ng/ml</w:t>
            </w:r>
          </w:p>
        </w:tc>
        <w:tc>
          <w:tcPr>
            <w:tcW w:w="3600" w:type="dxa"/>
          </w:tcPr>
          <w:p w:rsidR="00B74680" w:rsidRPr="000A269D" w:rsidRDefault="00B74680" w:rsidP="00132710">
            <w:pPr>
              <w:pStyle w:val="ListParagraph"/>
              <w:spacing w:line="360" w:lineRule="auto"/>
              <w:ind w:left="0"/>
              <w:rPr>
                <w:rFonts w:ascii="Bookman Old Style" w:hAnsi="Bookman Old Style"/>
                <w:sz w:val="20"/>
                <w:szCs w:val="24"/>
              </w:rPr>
            </w:pPr>
            <w:r w:rsidRPr="000A269D">
              <w:rPr>
                <w:rFonts w:ascii="Bookman Old Style" w:hAnsi="Bookman Old Style"/>
                <w:sz w:val="20"/>
                <w:szCs w:val="24"/>
              </w:rPr>
              <w:t>Toxicity possible</w:t>
            </w:r>
          </w:p>
        </w:tc>
      </w:tr>
    </w:tbl>
    <w:p w:rsidR="000A269D" w:rsidRDefault="00B74680" w:rsidP="000A269D">
      <w:pPr>
        <w:pStyle w:val="ListParagraph"/>
        <w:ind w:left="0"/>
        <w:jc w:val="center"/>
        <w:rPr>
          <w:rFonts w:ascii="Cambria Math" w:hAnsi="Cambria Math"/>
          <w:sz w:val="20"/>
          <w:szCs w:val="24"/>
        </w:rPr>
      </w:pPr>
      <w:r w:rsidRPr="000A269D">
        <w:rPr>
          <w:rFonts w:ascii="Cambria Math" w:hAnsi="Cambria Math"/>
          <w:sz w:val="20"/>
          <w:szCs w:val="24"/>
        </w:rPr>
        <w:t>Tabel 2 : Kategori Kadar Vitamin D</w:t>
      </w:r>
    </w:p>
    <w:p w:rsidR="00B74680" w:rsidRPr="000A269D" w:rsidRDefault="00B74680" w:rsidP="000A269D">
      <w:pPr>
        <w:pStyle w:val="ListParagraph"/>
        <w:ind w:left="0"/>
        <w:jc w:val="center"/>
        <w:rPr>
          <w:rFonts w:ascii="Cambria Math" w:hAnsi="Cambria Math"/>
          <w:sz w:val="20"/>
          <w:szCs w:val="24"/>
        </w:rPr>
      </w:pPr>
      <w:r w:rsidRPr="00A765AF">
        <w:rPr>
          <w:rFonts w:ascii="Cambria Math" w:hAnsi="Cambria Math"/>
          <w:sz w:val="18"/>
          <w:szCs w:val="18"/>
        </w:rPr>
        <w:t>(Dikutip dari : Martin T, Campbell K. Vitamin D and Diabetes. Diabetes Spectrum 24:113-118, 2011)</w:t>
      </w:r>
    </w:p>
    <w:p w:rsidR="00B74680" w:rsidRDefault="00B74680" w:rsidP="000A269D">
      <w:pPr>
        <w:autoSpaceDE w:val="0"/>
        <w:autoSpaceDN w:val="0"/>
        <w:adjustRightInd w:val="0"/>
        <w:spacing w:after="0" w:line="360" w:lineRule="auto"/>
        <w:ind w:firstLine="720"/>
        <w:jc w:val="both"/>
        <w:rPr>
          <w:rFonts w:ascii="Cambria Math" w:eastAsia="Calibri" w:hAnsi="Cambria Math" w:cs="Arial"/>
          <w:sz w:val="24"/>
          <w:szCs w:val="24"/>
          <w:lang w:eastAsia="id-ID"/>
        </w:rPr>
      </w:pPr>
      <w:r>
        <w:rPr>
          <w:rFonts w:ascii="Cambria Math" w:eastAsia="Calibri" w:hAnsi="Cambria Math" w:cs="Arial"/>
          <w:sz w:val="24"/>
          <w:szCs w:val="24"/>
          <w:lang w:eastAsia="id-ID"/>
        </w:rPr>
        <w:lastRenderedPageBreak/>
        <w:t xml:space="preserve">Pada pasien ini didapatkan kadar 25 hydroxy vitamin D sebesar </w:t>
      </w:r>
      <w:r w:rsidRPr="006E21ED">
        <w:rPr>
          <w:rFonts w:ascii="Cambria Math" w:eastAsia="Calibri" w:hAnsi="Cambria Math" w:cs="Arial"/>
          <w:sz w:val="24"/>
          <w:szCs w:val="24"/>
          <w:lang w:eastAsia="id-ID"/>
        </w:rPr>
        <w:t>16,2  (30 – 100 ng/mL)</w:t>
      </w:r>
      <w:r>
        <w:rPr>
          <w:rFonts w:ascii="Cambria Math" w:eastAsia="Calibri" w:hAnsi="Cambria Math" w:cs="Arial"/>
          <w:sz w:val="24"/>
          <w:szCs w:val="24"/>
          <w:lang w:eastAsia="id-ID"/>
        </w:rPr>
        <w:t xml:space="preserve">, yang termasuk dalam defisiensi ringan sampai sedang. </w:t>
      </w:r>
    </w:p>
    <w:p w:rsidR="00B74680" w:rsidRDefault="00B74680" w:rsidP="00B74680">
      <w:pPr>
        <w:autoSpaceDE w:val="0"/>
        <w:autoSpaceDN w:val="0"/>
        <w:adjustRightInd w:val="0"/>
        <w:spacing w:after="0" w:line="360" w:lineRule="auto"/>
        <w:ind w:firstLine="720"/>
        <w:jc w:val="both"/>
        <w:rPr>
          <w:rFonts w:ascii="Cambria Math" w:hAnsi="Cambria Math" w:cs="Arial"/>
          <w:sz w:val="24"/>
          <w:szCs w:val="24"/>
        </w:rPr>
      </w:pPr>
      <w:r>
        <w:rPr>
          <w:rFonts w:ascii="Cambria Math" w:eastAsia="Calibri" w:hAnsi="Cambria Math" w:cs="Arial"/>
          <w:sz w:val="24"/>
          <w:szCs w:val="24"/>
          <w:lang w:eastAsia="id-ID"/>
        </w:rPr>
        <w:t xml:space="preserve">Pada pasien-pasien yang mengalami defisiensi vitamin D, efek HPTP pada biokimia, densitometry dan indeks histomorphometric dari metabolisme tulang menjadi lebih jelas. Mereka akan memiliki kadar serum HPT yang lebih tinggi, juga bukti terjadinya peningkatan efek dari kerja HPT termasuk meningkatnya </w:t>
      </w:r>
      <w:r w:rsidRPr="00970CA7">
        <w:rPr>
          <w:rFonts w:ascii="Cambria Math" w:eastAsia="Calibri" w:hAnsi="Cambria Math" w:cs="Arial"/>
          <w:i/>
          <w:sz w:val="24"/>
          <w:szCs w:val="24"/>
          <w:lang w:eastAsia="id-ID"/>
        </w:rPr>
        <w:t>bone turnover</w:t>
      </w:r>
      <w:r>
        <w:rPr>
          <w:rFonts w:ascii="Cambria Math" w:eastAsia="Calibri" w:hAnsi="Cambria Math" w:cs="Arial"/>
          <w:sz w:val="24"/>
          <w:szCs w:val="24"/>
          <w:vertAlign w:val="superscript"/>
          <w:lang w:eastAsia="id-ID"/>
        </w:rPr>
        <w:t>(5)</w:t>
      </w:r>
      <w:r>
        <w:rPr>
          <w:rFonts w:ascii="Cambria Math" w:eastAsia="Calibri" w:hAnsi="Cambria Math" w:cs="Arial"/>
          <w:sz w:val="24"/>
          <w:szCs w:val="24"/>
          <w:lang w:eastAsia="id-ID"/>
        </w:rPr>
        <w:t>.  Penelitian yang dilakukan oleh Silverberg dkk, menilai efek dari status vitamin D terhadap tingkat keparahan penyakit pada 124 pasien dengan HPTP. Didapatkan bahwa pada kelompok dengan konsentrasi 25 hydroxyvitamin D yang terendah akan memiliki kadar HPT yang lebih tinggi dan bone turnover yang paling besar dari hasil biopsi</w:t>
      </w:r>
      <w:r>
        <w:rPr>
          <w:rFonts w:ascii="Cambria Math" w:eastAsia="Calibri" w:hAnsi="Cambria Math" w:cs="Arial"/>
          <w:sz w:val="24"/>
          <w:szCs w:val="24"/>
          <w:vertAlign w:val="superscript"/>
          <w:lang w:eastAsia="id-ID"/>
        </w:rPr>
        <w:t>(6)</w:t>
      </w:r>
      <w:r>
        <w:rPr>
          <w:rFonts w:ascii="Cambria Math" w:eastAsia="Calibri" w:hAnsi="Cambria Math" w:cs="Arial"/>
          <w:sz w:val="24"/>
          <w:szCs w:val="24"/>
          <w:lang w:eastAsia="id-ID"/>
        </w:rPr>
        <w:t>. Penelitian lain yang dilakukan oleh sarjana Monchik dan Gorgun pada 223 pasien dengan HPTP didapatkan dari 140 orang yang menjalani pemeriksaan BMD, 64 orang diantaranya mengalami osteoporosis. Dari 64 orang yang mengalami osteoporosis ini 6 orang (9%) diantaranya memiliki kadar kalsium normal dan 9 orang (14%) memiliki kadar kalsium intermittent</w:t>
      </w:r>
      <w:r>
        <w:rPr>
          <w:rFonts w:ascii="Cambria Math" w:eastAsia="Calibri" w:hAnsi="Cambria Math" w:cs="Arial"/>
          <w:sz w:val="24"/>
          <w:szCs w:val="24"/>
          <w:vertAlign w:val="superscript"/>
          <w:lang w:eastAsia="id-ID"/>
        </w:rPr>
        <w:t>(12)</w:t>
      </w:r>
      <w:r>
        <w:rPr>
          <w:rFonts w:ascii="Cambria Math" w:eastAsia="Calibri" w:hAnsi="Cambria Math" w:cs="Arial"/>
          <w:sz w:val="24"/>
          <w:szCs w:val="24"/>
          <w:lang w:eastAsia="id-ID"/>
        </w:rPr>
        <w:t xml:space="preserve">. Pada kasus ini dari pemeriksaan BMD </w:t>
      </w:r>
      <w:r>
        <w:rPr>
          <w:rFonts w:ascii="Cambria Math" w:hAnsi="Cambria Math" w:cs="Arial"/>
          <w:sz w:val="24"/>
          <w:szCs w:val="24"/>
        </w:rPr>
        <w:t xml:space="preserve">didapatkan nilai </w:t>
      </w:r>
      <w:r w:rsidRPr="00D71286">
        <w:rPr>
          <w:rFonts w:ascii="Cambria Math" w:hAnsi="Cambria Math" w:cs="Arial"/>
          <w:i/>
          <w:sz w:val="24"/>
          <w:szCs w:val="24"/>
        </w:rPr>
        <w:t>T-score</w:t>
      </w:r>
      <w:r>
        <w:rPr>
          <w:rFonts w:ascii="Cambria Math" w:hAnsi="Cambria Math" w:cs="Arial"/>
          <w:sz w:val="24"/>
          <w:szCs w:val="24"/>
        </w:rPr>
        <w:t xml:space="preserve"> -4,2 (osteoporosis) dengan kadar kalsium normal dan peningkatan HPT. Mather pada tahun 1953 adalah yang pertama sekali melaporkan pasien dengan HPTP dan kadar kalsium yang normal, mengalami gejala skeletal dan osteitis fibrosa cystika</w:t>
      </w:r>
      <w:r>
        <w:rPr>
          <w:rFonts w:ascii="Cambria Math" w:hAnsi="Cambria Math" w:cs="Arial"/>
          <w:sz w:val="24"/>
          <w:szCs w:val="24"/>
          <w:vertAlign w:val="superscript"/>
        </w:rPr>
        <w:t>(13)</w:t>
      </w:r>
      <w:r>
        <w:rPr>
          <w:rFonts w:ascii="Cambria Math" w:hAnsi="Cambria Math" w:cs="Arial"/>
          <w:sz w:val="24"/>
          <w:szCs w:val="24"/>
        </w:rPr>
        <w:t xml:space="preserve">. </w:t>
      </w:r>
    </w:p>
    <w:p w:rsidR="00B74680" w:rsidRPr="009E329F" w:rsidRDefault="00B74680" w:rsidP="00B74680">
      <w:pPr>
        <w:autoSpaceDE w:val="0"/>
        <w:autoSpaceDN w:val="0"/>
        <w:adjustRightInd w:val="0"/>
        <w:spacing w:after="0" w:line="360" w:lineRule="auto"/>
        <w:ind w:firstLine="720"/>
        <w:jc w:val="both"/>
      </w:pPr>
      <w:r>
        <w:rPr>
          <w:rFonts w:ascii="Cambria Math" w:hAnsi="Cambria Math" w:cs="Arial"/>
          <w:sz w:val="24"/>
          <w:szCs w:val="24"/>
        </w:rPr>
        <w:t xml:space="preserve"> Hiperparatiroidisme Primer (</w:t>
      </w:r>
      <w:r w:rsidRPr="00A725A4">
        <w:rPr>
          <w:rFonts w:ascii="Cambria Math" w:hAnsi="Cambria Math" w:cs="Arial"/>
          <w:sz w:val="24"/>
          <w:szCs w:val="24"/>
        </w:rPr>
        <w:t>HPT</w:t>
      </w:r>
      <w:r>
        <w:rPr>
          <w:rFonts w:ascii="Cambria Math" w:hAnsi="Cambria Math" w:cs="Arial"/>
          <w:sz w:val="24"/>
          <w:szCs w:val="24"/>
        </w:rPr>
        <w:t>P</w:t>
      </w:r>
      <w:r w:rsidRPr="00A725A4">
        <w:rPr>
          <w:rFonts w:ascii="Cambria Math" w:hAnsi="Cambria Math" w:cs="Arial"/>
          <w:sz w:val="24"/>
          <w:szCs w:val="24"/>
        </w:rPr>
        <w:t xml:space="preserve">) </w:t>
      </w:r>
      <w:r>
        <w:rPr>
          <w:rFonts w:ascii="Cambria Math" w:hAnsi="Cambria Math" w:cs="Arial"/>
          <w:sz w:val="24"/>
          <w:szCs w:val="24"/>
        </w:rPr>
        <w:t xml:space="preserve">memiliki </w:t>
      </w:r>
      <w:r w:rsidRPr="00A725A4">
        <w:rPr>
          <w:rFonts w:ascii="Cambria Math" w:hAnsi="Cambria Math" w:cs="Arial"/>
          <w:sz w:val="24"/>
          <w:szCs w:val="24"/>
        </w:rPr>
        <w:t>efek</w:t>
      </w:r>
      <w:r>
        <w:rPr>
          <w:rFonts w:ascii="Cambria Math" w:hAnsi="Cambria Math" w:cs="Arial"/>
          <w:sz w:val="24"/>
          <w:szCs w:val="24"/>
        </w:rPr>
        <w:t xml:space="preserve"> yang beragam </w:t>
      </w:r>
      <w:r w:rsidRPr="00A725A4">
        <w:rPr>
          <w:rFonts w:ascii="Cambria Math" w:hAnsi="Cambria Math" w:cs="Arial"/>
          <w:sz w:val="24"/>
          <w:szCs w:val="24"/>
        </w:rPr>
        <w:t>pada</w:t>
      </w:r>
      <w:r>
        <w:rPr>
          <w:rFonts w:ascii="Cambria Math" w:hAnsi="Cambria Math" w:cs="Arial"/>
          <w:sz w:val="24"/>
          <w:szCs w:val="24"/>
        </w:rPr>
        <w:t xml:space="preserve"> tulang</w:t>
      </w:r>
      <w:r w:rsidRPr="00A725A4">
        <w:rPr>
          <w:rFonts w:ascii="Cambria Math" w:hAnsi="Cambria Math" w:cs="Arial"/>
          <w:sz w:val="24"/>
          <w:szCs w:val="24"/>
        </w:rPr>
        <w:t xml:space="preserve"> kerang</w:t>
      </w:r>
      <w:r>
        <w:rPr>
          <w:rFonts w:ascii="Cambria Math" w:hAnsi="Cambria Math" w:cs="Arial"/>
          <w:sz w:val="24"/>
          <w:szCs w:val="24"/>
        </w:rPr>
        <w:t>ka tergantung pada keparahan penyakit dan waktu.</w:t>
      </w:r>
      <w:r w:rsidRPr="00A725A4">
        <w:t xml:space="preserve"> </w:t>
      </w:r>
      <w:r>
        <w:t xml:space="preserve"> </w:t>
      </w:r>
      <w:r w:rsidRPr="00A725A4">
        <w:rPr>
          <w:rFonts w:ascii="Cambria Math" w:hAnsi="Cambria Math" w:cs="Arial"/>
          <w:sz w:val="24"/>
          <w:szCs w:val="24"/>
        </w:rPr>
        <w:t>Efek langsung</w:t>
      </w:r>
      <w:r>
        <w:rPr>
          <w:rFonts w:ascii="Cambria Math" w:hAnsi="Cambria Math" w:cs="Arial"/>
          <w:sz w:val="24"/>
          <w:szCs w:val="24"/>
        </w:rPr>
        <w:t xml:space="preserve"> yang terjadi saat  administrasi </w:t>
      </w:r>
      <w:r w:rsidRPr="00A725A4">
        <w:rPr>
          <w:rFonts w:ascii="Cambria Math" w:hAnsi="Cambria Math" w:cs="Arial"/>
          <w:sz w:val="24"/>
          <w:szCs w:val="24"/>
        </w:rPr>
        <w:t>H</w:t>
      </w:r>
      <w:r>
        <w:rPr>
          <w:rFonts w:ascii="Cambria Math" w:hAnsi="Cambria Math" w:cs="Arial"/>
          <w:sz w:val="24"/>
          <w:szCs w:val="24"/>
        </w:rPr>
        <w:t>PT</w:t>
      </w:r>
      <w:r w:rsidRPr="00A725A4">
        <w:rPr>
          <w:rFonts w:ascii="Cambria Math" w:hAnsi="Cambria Math" w:cs="Arial"/>
          <w:sz w:val="24"/>
          <w:szCs w:val="24"/>
        </w:rPr>
        <w:t xml:space="preserve"> di</w:t>
      </w:r>
      <w:r>
        <w:t xml:space="preserve"> </w:t>
      </w:r>
      <w:r w:rsidRPr="00A725A4">
        <w:rPr>
          <w:rFonts w:ascii="Cambria Math" w:hAnsi="Cambria Math" w:cs="Arial"/>
          <w:sz w:val="24"/>
          <w:szCs w:val="24"/>
        </w:rPr>
        <w:t>jaringan tulang adalah peningkatan resorpsi tulang,</w:t>
      </w:r>
      <w:r>
        <w:t xml:space="preserve"> </w:t>
      </w:r>
      <w:r w:rsidRPr="00A725A4">
        <w:rPr>
          <w:rFonts w:ascii="Cambria Math" w:hAnsi="Cambria Math" w:cs="Arial"/>
          <w:sz w:val="24"/>
          <w:szCs w:val="24"/>
        </w:rPr>
        <w:t>yang terjadi pada awalnya melalui peningkatan</w:t>
      </w:r>
      <w:r>
        <w:rPr>
          <w:rFonts w:ascii="Cambria Math" w:hAnsi="Cambria Math" w:cs="Arial"/>
          <w:sz w:val="24"/>
          <w:szCs w:val="24"/>
        </w:rPr>
        <w:t xml:space="preserve"> aktifitas metabolik</w:t>
      </w:r>
      <w:r w:rsidRPr="00A725A4">
        <w:rPr>
          <w:rFonts w:ascii="Cambria Math" w:hAnsi="Cambria Math" w:cs="Arial"/>
          <w:sz w:val="24"/>
          <w:szCs w:val="24"/>
        </w:rPr>
        <w:t>, dan selanjutnya</w:t>
      </w:r>
      <w:r>
        <w:rPr>
          <w:rFonts w:ascii="Cambria Math" w:hAnsi="Cambria Math" w:cs="Arial"/>
          <w:sz w:val="24"/>
          <w:szCs w:val="24"/>
        </w:rPr>
        <w:t xml:space="preserve"> peningkatan</w:t>
      </w:r>
      <w:r w:rsidRPr="00A725A4">
        <w:rPr>
          <w:rFonts w:ascii="Cambria Math" w:hAnsi="Cambria Math" w:cs="Arial"/>
          <w:sz w:val="24"/>
          <w:szCs w:val="24"/>
        </w:rPr>
        <w:t xml:space="preserve"> dalam jumlah osteoklas</w:t>
      </w:r>
      <w:r>
        <w:t>.</w:t>
      </w:r>
      <w:r w:rsidRPr="00A725A4">
        <w:rPr>
          <w:rFonts w:ascii="Cambria Math" w:hAnsi="Cambria Math" w:cs="Arial"/>
          <w:sz w:val="24"/>
          <w:szCs w:val="24"/>
        </w:rPr>
        <w:t xml:space="preserve"> </w:t>
      </w:r>
      <w:r>
        <w:rPr>
          <w:rFonts w:ascii="Cambria Math" w:hAnsi="Cambria Math" w:cs="Arial"/>
          <w:sz w:val="24"/>
          <w:szCs w:val="24"/>
        </w:rPr>
        <w:t>Sebagai akibatnya, bone turnover</w:t>
      </w:r>
      <w:r w:rsidRPr="00A725A4">
        <w:rPr>
          <w:rFonts w:ascii="Cambria Math" w:hAnsi="Cambria Math" w:cs="Arial"/>
          <w:sz w:val="24"/>
          <w:szCs w:val="24"/>
        </w:rPr>
        <w:t xml:space="preserve"> juga</w:t>
      </w:r>
      <w:r>
        <w:t xml:space="preserve"> </w:t>
      </w:r>
      <w:r>
        <w:rPr>
          <w:rFonts w:ascii="Cambria Math" w:hAnsi="Cambria Math" w:cs="Arial"/>
          <w:sz w:val="24"/>
          <w:szCs w:val="24"/>
        </w:rPr>
        <w:t>meningkat. Beberapa penelitian telah mengindikasikan bahwa HPT</w:t>
      </w:r>
      <w:r w:rsidRPr="00A725A4">
        <w:rPr>
          <w:rFonts w:ascii="Cambria Math" w:hAnsi="Cambria Math" w:cs="Arial"/>
          <w:sz w:val="24"/>
          <w:szCs w:val="24"/>
        </w:rPr>
        <w:t xml:space="preserve"> secara tidak langsung mempromosikan</w:t>
      </w:r>
      <w:r>
        <w:rPr>
          <w:rFonts w:ascii="Cambria Math" w:hAnsi="Cambria Math" w:cs="Arial"/>
          <w:sz w:val="24"/>
          <w:szCs w:val="24"/>
        </w:rPr>
        <w:t xml:space="preserve"> aktivitas osteoklastik </w:t>
      </w:r>
      <w:r w:rsidRPr="00A725A4">
        <w:rPr>
          <w:rFonts w:ascii="Cambria Math" w:hAnsi="Cambria Math" w:cs="Arial"/>
          <w:sz w:val="24"/>
          <w:szCs w:val="24"/>
        </w:rPr>
        <w:t xml:space="preserve">melalui </w:t>
      </w:r>
      <w:r>
        <w:rPr>
          <w:rFonts w:ascii="Cambria Math" w:hAnsi="Cambria Math" w:cs="Arial"/>
          <w:sz w:val="24"/>
          <w:szCs w:val="24"/>
        </w:rPr>
        <w:t>osteoblast yang dilengkapi</w:t>
      </w:r>
      <w:r w:rsidRPr="00A725A4">
        <w:rPr>
          <w:rFonts w:ascii="Cambria Math" w:hAnsi="Cambria Math" w:cs="Arial"/>
          <w:sz w:val="24"/>
          <w:szCs w:val="24"/>
        </w:rPr>
        <w:t xml:space="preserve"> dengan reseptor</w:t>
      </w:r>
      <w:r>
        <w:rPr>
          <w:rFonts w:ascii="Cambria Math" w:hAnsi="Cambria Math" w:cs="Arial"/>
          <w:sz w:val="24"/>
          <w:szCs w:val="24"/>
        </w:rPr>
        <w:t xml:space="preserve"> spesifik</w:t>
      </w:r>
      <w:r w:rsidRPr="00A725A4">
        <w:rPr>
          <w:rFonts w:ascii="Cambria Math" w:hAnsi="Cambria Math" w:cs="Arial"/>
          <w:sz w:val="24"/>
          <w:szCs w:val="24"/>
        </w:rPr>
        <w:t xml:space="preserve"> </w:t>
      </w:r>
      <w:r>
        <w:rPr>
          <w:rFonts w:ascii="Cambria Math" w:hAnsi="Cambria Math" w:cs="Arial"/>
          <w:sz w:val="24"/>
          <w:szCs w:val="24"/>
        </w:rPr>
        <w:t>HPT.</w:t>
      </w:r>
      <w:r w:rsidRPr="00A725A4">
        <w:rPr>
          <w:rFonts w:ascii="Cambria Math" w:hAnsi="Cambria Math" w:cs="Arial"/>
          <w:sz w:val="24"/>
          <w:szCs w:val="24"/>
        </w:rPr>
        <w:t xml:space="preserve"> Namun, penelitian terbaru menunjukkan</w:t>
      </w:r>
      <w:r>
        <w:rPr>
          <w:rFonts w:ascii="Cambria Math" w:hAnsi="Cambria Math" w:cs="Arial"/>
          <w:sz w:val="24"/>
          <w:szCs w:val="24"/>
        </w:rPr>
        <w:t xml:space="preserve"> bahwa HPT </w:t>
      </w:r>
      <w:r w:rsidRPr="00A725A4">
        <w:rPr>
          <w:rFonts w:ascii="Cambria Math" w:hAnsi="Cambria Math" w:cs="Arial"/>
          <w:sz w:val="24"/>
          <w:szCs w:val="24"/>
        </w:rPr>
        <w:t>dapat mengaktifka</w:t>
      </w:r>
      <w:r>
        <w:rPr>
          <w:rFonts w:ascii="Cambria Math" w:hAnsi="Cambria Math" w:cs="Arial"/>
          <w:sz w:val="24"/>
          <w:szCs w:val="24"/>
        </w:rPr>
        <w:t>n resorpsi tulang melalui kerja</w:t>
      </w:r>
      <w:r w:rsidRPr="00A725A4">
        <w:rPr>
          <w:rFonts w:ascii="Cambria Math" w:hAnsi="Cambria Math" w:cs="Arial"/>
          <w:sz w:val="24"/>
          <w:szCs w:val="24"/>
        </w:rPr>
        <w:t xml:space="preserve"> langsung pada osteoklas</w:t>
      </w:r>
      <w:r>
        <w:rPr>
          <w:rFonts w:ascii="Cambria Math" w:hAnsi="Cambria Math" w:cs="Arial"/>
          <w:sz w:val="24"/>
          <w:szCs w:val="24"/>
          <w:vertAlign w:val="superscript"/>
        </w:rPr>
        <w:t>(14)</w:t>
      </w:r>
      <w:r>
        <w:rPr>
          <w:rFonts w:ascii="Cambria Math" w:hAnsi="Cambria Math" w:cs="Arial"/>
          <w:sz w:val="24"/>
          <w:szCs w:val="24"/>
        </w:rPr>
        <w:t xml:space="preserve">.  </w:t>
      </w:r>
    </w:p>
    <w:p w:rsidR="00B74680" w:rsidRDefault="00B74680" w:rsidP="00B74680">
      <w:pPr>
        <w:autoSpaceDE w:val="0"/>
        <w:autoSpaceDN w:val="0"/>
        <w:adjustRightInd w:val="0"/>
        <w:spacing w:after="0" w:line="360" w:lineRule="auto"/>
        <w:ind w:firstLine="720"/>
        <w:jc w:val="both"/>
        <w:rPr>
          <w:rFonts w:ascii="Cambria Math" w:hAnsi="Cambria Math" w:cs="Arial"/>
          <w:sz w:val="24"/>
          <w:szCs w:val="24"/>
        </w:rPr>
      </w:pPr>
      <w:r w:rsidRPr="00923100">
        <w:rPr>
          <w:rFonts w:ascii="Cambria Math" w:hAnsi="Cambria Math" w:cs="Arial"/>
          <w:sz w:val="24"/>
          <w:szCs w:val="24"/>
        </w:rPr>
        <w:t>PHPT adalah</w:t>
      </w:r>
      <w:r>
        <w:rPr>
          <w:rFonts w:ascii="Cambria Math" w:hAnsi="Cambria Math" w:cs="Arial"/>
          <w:sz w:val="24"/>
          <w:szCs w:val="24"/>
        </w:rPr>
        <w:t xml:space="preserve"> keadaan dimana terjadi bone turn over yang meningkat </w:t>
      </w:r>
      <w:r w:rsidRPr="00923100">
        <w:rPr>
          <w:rFonts w:ascii="Cambria Math" w:hAnsi="Cambria Math" w:cs="Arial"/>
          <w:sz w:val="24"/>
          <w:szCs w:val="24"/>
        </w:rPr>
        <w:t>dan</w:t>
      </w:r>
      <w:r>
        <w:rPr>
          <w:rFonts w:ascii="Cambria Math" w:hAnsi="Cambria Math" w:cs="Arial"/>
          <w:sz w:val="24"/>
          <w:szCs w:val="24"/>
        </w:rPr>
        <w:t xml:space="preserve"> oleh </w:t>
      </w:r>
      <w:r w:rsidRPr="00923100">
        <w:rPr>
          <w:rFonts w:ascii="Cambria Math" w:hAnsi="Cambria Math" w:cs="Arial"/>
          <w:sz w:val="24"/>
          <w:szCs w:val="24"/>
        </w:rPr>
        <w:t xml:space="preserve"> karenanya</w:t>
      </w:r>
      <w:r>
        <w:rPr>
          <w:rFonts w:ascii="Cambria Math" w:hAnsi="Cambria Math" w:cs="Arial"/>
          <w:sz w:val="24"/>
          <w:szCs w:val="24"/>
        </w:rPr>
        <w:t xml:space="preserve"> akan meningkatkan risiko </w:t>
      </w:r>
      <w:r w:rsidRPr="00923100">
        <w:rPr>
          <w:rFonts w:ascii="Cambria Math" w:hAnsi="Cambria Math" w:cs="Arial"/>
          <w:sz w:val="24"/>
          <w:szCs w:val="24"/>
        </w:rPr>
        <w:t>fraktur dengan mengura</w:t>
      </w:r>
      <w:r>
        <w:rPr>
          <w:rFonts w:ascii="Cambria Math" w:hAnsi="Cambria Math" w:cs="Arial"/>
          <w:sz w:val="24"/>
          <w:szCs w:val="24"/>
        </w:rPr>
        <w:t xml:space="preserve">ngi stabilitas mikro-arsitektur dan kualitas tulang. </w:t>
      </w:r>
      <w:r w:rsidRPr="00923100">
        <w:rPr>
          <w:rFonts w:ascii="Cambria Math" w:hAnsi="Cambria Math" w:cs="Arial"/>
          <w:sz w:val="24"/>
          <w:szCs w:val="24"/>
        </w:rPr>
        <w:t>Keh</w:t>
      </w:r>
      <w:r>
        <w:rPr>
          <w:rFonts w:ascii="Cambria Math" w:hAnsi="Cambria Math" w:cs="Arial"/>
          <w:sz w:val="24"/>
          <w:szCs w:val="24"/>
        </w:rPr>
        <w:t xml:space="preserve">ilangan tulang kortikal terjadi </w:t>
      </w:r>
      <w:r w:rsidRPr="00923100">
        <w:rPr>
          <w:rFonts w:ascii="Cambria Math" w:hAnsi="Cambria Math" w:cs="Arial"/>
          <w:sz w:val="24"/>
          <w:szCs w:val="24"/>
        </w:rPr>
        <w:t>terutam</w:t>
      </w:r>
      <w:r>
        <w:rPr>
          <w:rFonts w:ascii="Cambria Math" w:hAnsi="Cambria Math" w:cs="Arial"/>
          <w:sz w:val="24"/>
          <w:szCs w:val="24"/>
        </w:rPr>
        <w:t xml:space="preserve">a di 1/3 distal radius, </w:t>
      </w:r>
      <w:r w:rsidRPr="00923100">
        <w:rPr>
          <w:rFonts w:ascii="Cambria Math" w:hAnsi="Cambria Math" w:cs="Arial"/>
          <w:sz w:val="24"/>
          <w:szCs w:val="24"/>
        </w:rPr>
        <w:t xml:space="preserve">bukti terbaru menunjukkan </w:t>
      </w:r>
      <w:r>
        <w:rPr>
          <w:rFonts w:ascii="Cambria Math" w:hAnsi="Cambria Math" w:cs="Arial"/>
          <w:sz w:val="24"/>
          <w:szCs w:val="24"/>
        </w:rPr>
        <w:t xml:space="preserve">adanya kehilangan tulang trabekular, dimana </w:t>
      </w:r>
      <w:r>
        <w:rPr>
          <w:rFonts w:ascii="Cambria Math" w:hAnsi="Cambria Math" w:cs="Arial"/>
          <w:sz w:val="24"/>
          <w:szCs w:val="24"/>
        </w:rPr>
        <w:lastRenderedPageBreak/>
        <w:t xml:space="preserve">sebelumnya tidak didapati,  dan perubahan kualitatif di </w:t>
      </w:r>
      <w:r w:rsidRPr="00923100">
        <w:rPr>
          <w:rFonts w:ascii="Cambria Math" w:hAnsi="Cambria Math" w:cs="Arial"/>
          <w:sz w:val="24"/>
          <w:szCs w:val="24"/>
        </w:rPr>
        <w:t>tulang belakang dan pinggul juga meningkatk</w:t>
      </w:r>
      <w:r>
        <w:rPr>
          <w:rFonts w:ascii="Cambria Math" w:hAnsi="Cambria Math" w:cs="Arial"/>
          <w:sz w:val="24"/>
          <w:szCs w:val="24"/>
        </w:rPr>
        <w:t>an risiko patah tulang pada area tersebut</w:t>
      </w:r>
      <w:r w:rsidRPr="00923100">
        <w:rPr>
          <w:rFonts w:ascii="Cambria Math" w:hAnsi="Cambria Math" w:cs="Arial"/>
          <w:sz w:val="24"/>
          <w:szCs w:val="24"/>
        </w:rPr>
        <w:t>. Karena osteoporosi</w:t>
      </w:r>
      <w:r>
        <w:rPr>
          <w:rFonts w:ascii="Cambria Math" w:hAnsi="Cambria Math" w:cs="Arial"/>
          <w:sz w:val="24"/>
          <w:szCs w:val="24"/>
        </w:rPr>
        <w:t xml:space="preserve">s sering terjadi pada pasien dengan usia yang lebih tua, maka koinsidensi bisa terjadi oleh karena itu </w:t>
      </w:r>
      <w:r w:rsidRPr="00923100">
        <w:rPr>
          <w:rFonts w:ascii="Cambria Math" w:hAnsi="Cambria Math" w:cs="Arial"/>
          <w:sz w:val="24"/>
          <w:szCs w:val="24"/>
        </w:rPr>
        <w:t>seharusnya evaluasi r</w:t>
      </w:r>
      <w:r>
        <w:rPr>
          <w:rFonts w:ascii="Cambria Math" w:hAnsi="Cambria Math" w:cs="Arial"/>
          <w:sz w:val="24"/>
          <w:szCs w:val="24"/>
        </w:rPr>
        <w:t xml:space="preserve">isiko kehilangan tulang lengkap harus dilakukan </w:t>
      </w:r>
      <w:r w:rsidRPr="00923100">
        <w:rPr>
          <w:rFonts w:ascii="Cambria Math" w:hAnsi="Cambria Math" w:cs="Arial"/>
          <w:sz w:val="24"/>
          <w:szCs w:val="24"/>
        </w:rPr>
        <w:t>pada setiap</w:t>
      </w:r>
      <w:r>
        <w:rPr>
          <w:rFonts w:ascii="Cambria Math" w:hAnsi="Cambria Math" w:cs="Arial"/>
          <w:sz w:val="24"/>
          <w:szCs w:val="24"/>
        </w:rPr>
        <w:t xml:space="preserve"> pasien HPTP yang berusia &gt; 50 tahun dan pada </w:t>
      </w:r>
      <w:r w:rsidRPr="00923100">
        <w:rPr>
          <w:rFonts w:ascii="Cambria Math" w:hAnsi="Cambria Math" w:cs="Arial"/>
          <w:sz w:val="24"/>
          <w:szCs w:val="24"/>
        </w:rPr>
        <w:t>pasien m</w:t>
      </w:r>
      <w:r>
        <w:rPr>
          <w:rFonts w:ascii="Cambria Math" w:hAnsi="Cambria Math" w:cs="Arial"/>
          <w:sz w:val="24"/>
          <w:szCs w:val="24"/>
        </w:rPr>
        <w:t xml:space="preserve">uda yang memiliki </w:t>
      </w:r>
      <w:r w:rsidRPr="00923100">
        <w:rPr>
          <w:rFonts w:ascii="Cambria Math" w:hAnsi="Cambria Math" w:cs="Arial"/>
          <w:sz w:val="24"/>
          <w:szCs w:val="24"/>
        </w:rPr>
        <w:t xml:space="preserve">risiko penurunan </w:t>
      </w:r>
      <w:r>
        <w:rPr>
          <w:rFonts w:ascii="Cambria Math" w:hAnsi="Cambria Math" w:cs="Arial"/>
          <w:sz w:val="24"/>
          <w:szCs w:val="24"/>
        </w:rPr>
        <w:t xml:space="preserve">kualitas tulang </w:t>
      </w:r>
      <w:r>
        <w:rPr>
          <w:rFonts w:ascii="Cambria Math" w:hAnsi="Cambria Math" w:cs="Arial"/>
          <w:sz w:val="24"/>
          <w:szCs w:val="24"/>
          <w:vertAlign w:val="superscript"/>
        </w:rPr>
        <w:t>(15)</w:t>
      </w:r>
      <w:r w:rsidRPr="00923100">
        <w:rPr>
          <w:rFonts w:ascii="Cambria Math" w:hAnsi="Cambria Math" w:cs="Arial"/>
          <w:sz w:val="24"/>
          <w:szCs w:val="24"/>
        </w:rPr>
        <w:t>.</w:t>
      </w:r>
    </w:p>
    <w:p w:rsidR="00B74680" w:rsidRDefault="00B74680" w:rsidP="00B74680">
      <w:pPr>
        <w:autoSpaceDE w:val="0"/>
        <w:autoSpaceDN w:val="0"/>
        <w:adjustRightInd w:val="0"/>
        <w:spacing w:after="0" w:line="360" w:lineRule="auto"/>
        <w:ind w:firstLine="720"/>
        <w:jc w:val="both"/>
        <w:rPr>
          <w:rFonts w:ascii="Cambria Math" w:hAnsi="Cambria Math" w:cs="Arial"/>
          <w:sz w:val="24"/>
          <w:szCs w:val="24"/>
        </w:rPr>
      </w:pPr>
      <w:r>
        <w:rPr>
          <w:rFonts w:ascii="Cambria Math" w:hAnsi="Cambria Math" w:cs="Arial"/>
          <w:sz w:val="24"/>
          <w:szCs w:val="24"/>
        </w:rPr>
        <w:t xml:space="preserve">Evaluasi medis lengkap untuk menilai kesehatan tulang </w:t>
      </w:r>
      <w:r w:rsidRPr="00913045">
        <w:rPr>
          <w:rFonts w:ascii="Cambria Math" w:hAnsi="Cambria Math" w:cs="Arial"/>
          <w:sz w:val="24"/>
          <w:szCs w:val="24"/>
        </w:rPr>
        <w:t>sebagai bagian dari pemeriks</w:t>
      </w:r>
      <w:r>
        <w:rPr>
          <w:rFonts w:ascii="Cambria Math" w:hAnsi="Cambria Math" w:cs="Arial"/>
          <w:sz w:val="24"/>
          <w:szCs w:val="24"/>
        </w:rPr>
        <w:t xml:space="preserve">aan yang direkomendasikan untuk </w:t>
      </w:r>
      <w:r w:rsidRPr="00913045">
        <w:rPr>
          <w:rFonts w:ascii="Cambria Math" w:hAnsi="Cambria Math" w:cs="Arial"/>
          <w:sz w:val="24"/>
          <w:szCs w:val="24"/>
        </w:rPr>
        <w:t>HPT</w:t>
      </w:r>
      <w:r>
        <w:rPr>
          <w:rFonts w:ascii="Cambria Math" w:hAnsi="Cambria Math" w:cs="Arial"/>
          <w:sz w:val="24"/>
          <w:szCs w:val="24"/>
        </w:rPr>
        <w:t>P</w:t>
      </w:r>
      <w:r w:rsidRPr="00913045">
        <w:rPr>
          <w:rFonts w:ascii="Cambria Math" w:hAnsi="Cambria Math" w:cs="Arial"/>
          <w:sz w:val="24"/>
          <w:szCs w:val="24"/>
        </w:rPr>
        <w:t xml:space="preserve"> adalah</w:t>
      </w:r>
      <w:r>
        <w:rPr>
          <w:rFonts w:ascii="Cambria Math" w:hAnsi="Cambria Math" w:cs="Arial"/>
          <w:sz w:val="24"/>
          <w:szCs w:val="24"/>
          <w:vertAlign w:val="superscript"/>
        </w:rPr>
        <w:t>(15)</w:t>
      </w:r>
      <w:r>
        <w:rPr>
          <w:rFonts w:ascii="Cambria Math" w:hAnsi="Cambria Math" w:cs="Arial"/>
          <w:sz w:val="24"/>
          <w:szCs w:val="24"/>
        </w:rPr>
        <w:t xml:space="preserve">:  </w:t>
      </w:r>
    </w:p>
    <w:p w:rsidR="00B74680" w:rsidRPr="00923100" w:rsidRDefault="00B74680" w:rsidP="00B74680">
      <w:pPr>
        <w:autoSpaceDE w:val="0"/>
        <w:autoSpaceDN w:val="0"/>
        <w:adjustRightInd w:val="0"/>
        <w:spacing w:after="0" w:line="360" w:lineRule="auto"/>
        <w:ind w:left="720"/>
        <w:jc w:val="both"/>
        <w:rPr>
          <w:rFonts w:ascii="Cambria Math" w:hAnsi="Cambria Math" w:cs="Arial"/>
          <w:sz w:val="24"/>
          <w:szCs w:val="24"/>
        </w:rPr>
      </w:pPr>
      <w:r w:rsidRPr="00923100">
        <w:rPr>
          <w:rFonts w:ascii="Cambria Math" w:hAnsi="Cambria Math" w:cs="Arial"/>
          <w:sz w:val="24"/>
          <w:szCs w:val="24"/>
        </w:rPr>
        <w:t xml:space="preserve">1. </w:t>
      </w:r>
      <w:r>
        <w:rPr>
          <w:rFonts w:ascii="Cambria Math" w:hAnsi="Cambria Math" w:cs="Arial"/>
          <w:sz w:val="24"/>
          <w:szCs w:val="24"/>
        </w:rPr>
        <w:t xml:space="preserve"> </w:t>
      </w:r>
      <w:r w:rsidRPr="00923100">
        <w:rPr>
          <w:rFonts w:ascii="Cambria Math" w:hAnsi="Cambria Math" w:cs="Arial"/>
          <w:sz w:val="24"/>
          <w:szCs w:val="24"/>
        </w:rPr>
        <w:t>Riway</w:t>
      </w:r>
      <w:r>
        <w:rPr>
          <w:rFonts w:ascii="Cambria Math" w:hAnsi="Cambria Math" w:cs="Arial"/>
          <w:sz w:val="24"/>
          <w:szCs w:val="24"/>
        </w:rPr>
        <w:t>at medis lengkap mencari penyebab kehilangan tulang yang lain</w:t>
      </w:r>
    </w:p>
    <w:p w:rsidR="00B74680" w:rsidRPr="00923100" w:rsidRDefault="00B74680" w:rsidP="00B74680">
      <w:pPr>
        <w:autoSpaceDE w:val="0"/>
        <w:autoSpaceDN w:val="0"/>
        <w:adjustRightInd w:val="0"/>
        <w:spacing w:after="0" w:line="360" w:lineRule="auto"/>
        <w:ind w:left="990" w:hanging="270"/>
        <w:jc w:val="both"/>
        <w:rPr>
          <w:rFonts w:ascii="Cambria Math" w:hAnsi="Cambria Math" w:cs="Arial"/>
          <w:sz w:val="24"/>
          <w:szCs w:val="24"/>
        </w:rPr>
      </w:pPr>
      <w:r>
        <w:rPr>
          <w:rFonts w:ascii="Cambria Math" w:hAnsi="Cambria Math" w:cs="Arial"/>
          <w:sz w:val="24"/>
          <w:szCs w:val="24"/>
        </w:rPr>
        <w:t xml:space="preserve">2. </w:t>
      </w:r>
      <w:r w:rsidRPr="00923100">
        <w:rPr>
          <w:rFonts w:ascii="Cambria Math" w:hAnsi="Cambria Math" w:cs="Arial"/>
          <w:sz w:val="24"/>
          <w:szCs w:val="24"/>
        </w:rPr>
        <w:t>Analisis faktor ri</w:t>
      </w:r>
      <w:r>
        <w:rPr>
          <w:rFonts w:ascii="Cambria Math" w:hAnsi="Cambria Math" w:cs="Arial"/>
          <w:sz w:val="24"/>
          <w:szCs w:val="24"/>
        </w:rPr>
        <w:t xml:space="preserve">siko tambahan termasuk riwayat keluarga dengan osteoporosis, hiperkalsemia, </w:t>
      </w:r>
      <w:r w:rsidRPr="00923100">
        <w:rPr>
          <w:rFonts w:ascii="Cambria Math" w:hAnsi="Cambria Math" w:cs="Arial"/>
          <w:sz w:val="24"/>
          <w:szCs w:val="24"/>
        </w:rPr>
        <w:t>HPT</w:t>
      </w:r>
      <w:r>
        <w:rPr>
          <w:rFonts w:ascii="Cambria Math" w:hAnsi="Cambria Math" w:cs="Arial"/>
          <w:sz w:val="24"/>
          <w:szCs w:val="24"/>
        </w:rPr>
        <w:t>P</w:t>
      </w:r>
      <w:r w:rsidRPr="00923100">
        <w:rPr>
          <w:rFonts w:ascii="Cambria Math" w:hAnsi="Cambria Math" w:cs="Arial"/>
          <w:sz w:val="24"/>
          <w:szCs w:val="24"/>
        </w:rPr>
        <w:t>, nefrolit</w:t>
      </w:r>
      <w:r>
        <w:rPr>
          <w:rFonts w:ascii="Cambria Math" w:hAnsi="Cambria Math" w:cs="Arial"/>
          <w:sz w:val="24"/>
          <w:szCs w:val="24"/>
        </w:rPr>
        <w:t xml:space="preserve">iasis, atau gangguan tulang metabolik lainnya </w:t>
      </w:r>
    </w:p>
    <w:p w:rsidR="00B74680" w:rsidRPr="00923100" w:rsidRDefault="00B74680" w:rsidP="00B74680">
      <w:pPr>
        <w:autoSpaceDE w:val="0"/>
        <w:autoSpaceDN w:val="0"/>
        <w:adjustRightInd w:val="0"/>
        <w:spacing w:after="0" w:line="360" w:lineRule="auto"/>
        <w:ind w:left="990" w:hanging="270"/>
        <w:jc w:val="both"/>
        <w:rPr>
          <w:rFonts w:ascii="Cambria Math" w:hAnsi="Cambria Math" w:cs="Arial"/>
          <w:sz w:val="24"/>
          <w:szCs w:val="24"/>
        </w:rPr>
      </w:pPr>
      <w:r w:rsidRPr="00923100">
        <w:rPr>
          <w:rFonts w:ascii="Cambria Math" w:hAnsi="Cambria Math" w:cs="Arial"/>
          <w:sz w:val="24"/>
          <w:szCs w:val="24"/>
        </w:rPr>
        <w:t>3. Pemeriksaan biokimia termasuk total serum</w:t>
      </w:r>
      <w:r>
        <w:rPr>
          <w:rFonts w:ascii="Cambria Math" w:hAnsi="Cambria Math" w:cs="Arial"/>
          <w:sz w:val="24"/>
          <w:szCs w:val="24"/>
        </w:rPr>
        <w:t xml:space="preserve"> kalsium </w:t>
      </w:r>
      <w:r w:rsidRPr="00923100">
        <w:rPr>
          <w:rFonts w:ascii="Cambria Math" w:hAnsi="Cambria Math" w:cs="Arial"/>
          <w:sz w:val="24"/>
          <w:szCs w:val="24"/>
        </w:rPr>
        <w:t>dan kalsiu</w:t>
      </w:r>
      <w:r>
        <w:rPr>
          <w:rFonts w:ascii="Cambria Math" w:hAnsi="Cambria Math" w:cs="Arial"/>
          <w:sz w:val="24"/>
          <w:szCs w:val="24"/>
        </w:rPr>
        <w:t xml:space="preserve">m terionisasi, albumin, fosfor, magnesium, </w:t>
      </w:r>
      <w:r w:rsidRPr="00923100">
        <w:rPr>
          <w:rFonts w:ascii="Cambria Math" w:hAnsi="Cambria Math" w:cs="Arial"/>
          <w:sz w:val="24"/>
          <w:szCs w:val="24"/>
        </w:rPr>
        <w:t>H</w:t>
      </w:r>
      <w:r>
        <w:rPr>
          <w:rFonts w:ascii="Cambria Math" w:hAnsi="Cambria Math" w:cs="Arial"/>
          <w:sz w:val="24"/>
          <w:szCs w:val="24"/>
        </w:rPr>
        <w:t xml:space="preserve">PT, 25(OH)D3, alkaline phosphatase, </w:t>
      </w:r>
      <w:r w:rsidRPr="00923100">
        <w:rPr>
          <w:rFonts w:ascii="Cambria Math" w:hAnsi="Cambria Math" w:cs="Arial"/>
          <w:sz w:val="24"/>
          <w:szCs w:val="24"/>
        </w:rPr>
        <w:t>kreatin</w:t>
      </w:r>
      <w:r>
        <w:rPr>
          <w:rFonts w:ascii="Cambria Math" w:hAnsi="Cambria Math" w:cs="Arial"/>
          <w:sz w:val="24"/>
          <w:szCs w:val="24"/>
        </w:rPr>
        <w:t xml:space="preserve">in, kalsium urin, dan kreatinin </w:t>
      </w:r>
      <w:r w:rsidRPr="00923100">
        <w:rPr>
          <w:rFonts w:ascii="Cambria Math" w:hAnsi="Cambria Math" w:cs="Arial"/>
          <w:sz w:val="24"/>
          <w:szCs w:val="24"/>
        </w:rPr>
        <w:t>dengan</w:t>
      </w:r>
      <w:r>
        <w:rPr>
          <w:rFonts w:ascii="Cambria Math" w:hAnsi="Cambria Math" w:cs="Arial"/>
          <w:sz w:val="24"/>
          <w:szCs w:val="24"/>
        </w:rPr>
        <w:t xml:space="preserve"> peghitungan  Ca/</w:t>
      </w:r>
      <w:r w:rsidRPr="00923100">
        <w:rPr>
          <w:rFonts w:ascii="Cambria Math" w:hAnsi="Cambria Math" w:cs="Arial"/>
          <w:sz w:val="24"/>
          <w:szCs w:val="24"/>
        </w:rPr>
        <w:t>Cr.</w:t>
      </w:r>
    </w:p>
    <w:p w:rsidR="00B74680" w:rsidRPr="00923100" w:rsidRDefault="00B74680" w:rsidP="00B74680">
      <w:pPr>
        <w:autoSpaceDE w:val="0"/>
        <w:autoSpaceDN w:val="0"/>
        <w:adjustRightInd w:val="0"/>
        <w:spacing w:after="0" w:line="360" w:lineRule="auto"/>
        <w:ind w:firstLine="720"/>
        <w:jc w:val="both"/>
        <w:rPr>
          <w:rFonts w:ascii="Cambria Math" w:hAnsi="Cambria Math" w:cs="Arial"/>
          <w:sz w:val="24"/>
          <w:szCs w:val="24"/>
        </w:rPr>
      </w:pPr>
      <w:r w:rsidRPr="00923100">
        <w:rPr>
          <w:rFonts w:ascii="Cambria Math" w:hAnsi="Cambria Math" w:cs="Arial"/>
          <w:sz w:val="24"/>
          <w:szCs w:val="24"/>
        </w:rPr>
        <w:t>4. BMD</w:t>
      </w:r>
      <w:r>
        <w:rPr>
          <w:rFonts w:ascii="Cambria Math" w:hAnsi="Cambria Math" w:cs="Arial"/>
          <w:sz w:val="24"/>
          <w:szCs w:val="24"/>
        </w:rPr>
        <w:t xml:space="preserve"> pada  3 tempat</w:t>
      </w:r>
      <w:r w:rsidRPr="00923100">
        <w:rPr>
          <w:rFonts w:ascii="Cambria Math" w:hAnsi="Cambria Math" w:cs="Arial"/>
          <w:sz w:val="24"/>
          <w:szCs w:val="24"/>
        </w:rPr>
        <w:t xml:space="preserve"> (tulang be</w:t>
      </w:r>
      <w:r>
        <w:rPr>
          <w:rFonts w:ascii="Cambria Math" w:hAnsi="Cambria Math" w:cs="Arial"/>
          <w:sz w:val="24"/>
          <w:szCs w:val="24"/>
        </w:rPr>
        <w:t xml:space="preserve">lakang, pinggul, dan 1/3 distal </w:t>
      </w:r>
      <w:r w:rsidRPr="00923100">
        <w:rPr>
          <w:rFonts w:ascii="Cambria Math" w:hAnsi="Cambria Math" w:cs="Arial"/>
          <w:sz w:val="24"/>
          <w:szCs w:val="24"/>
        </w:rPr>
        <w:t>radius) oleh DXA.</w:t>
      </w:r>
    </w:p>
    <w:p w:rsidR="00B74680" w:rsidRDefault="00B74680" w:rsidP="00B74680">
      <w:pPr>
        <w:autoSpaceDE w:val="0"/>
        <w:autoSpaceDN w:val="0"/>
        <w:adjustRightInd w:val="0"/>
        <w:spacing w:after="0" w:line="360" w:lineRule="auto"/>
        <w:ind w:firstLine="720"/>
        <w:jc w:val="both"/>
        <w:rPr>
          <w:rFonts w:ascii="Cambria Math" w:hAnsi="Cambria Math" w:cs="Arial"/>
          <w:sz w:val="24"/>
          <w:szCs w:val="24"/>
        </w:rPr>
      </w:pPr>
      <w:r w:rsidRPr="00923100">
        <w:rPr>
          <w:rFonts w:ascii="Cambria Math" w:hAnsi="Cambria Math" w:cs="Arial"/>
          <w:sz w:val="24"/>
          <w:szCs w:val="24"/>
        </w:rPr>
        <w:t>5. Penilaian f</w:t>
      </w:r>
      <w:r>
        <w:rPr>
          <w:rFonts w:ascii="Cambria Math" w:hAnsi="Cambria Math" w:cs="Arial"/>
          <w:sz w:val="24"/>
          <w:szCs w:val="24"/>
        </w:rPr>
        <w:t>raktur vertebral dengan foto rontgen</w:t>
      </w:r>
    </w:p>
    <w:p w:rsidR="00B74680" w:rsidRDefault="00B74680" w:rsidP="00B74680">
      <w:p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 xml:space="preserve"> </w:t>
      </w:r>
      <w:r>
        <w:rPr>
          <w:rFonts w:ascii="Cambria Math" w:hAnsi="Cambria Math" w:cs="Arial"/>
          <w:sz w:val="24"/>
          <w:szCs w:val="24"/>
        </w:rPr>
        <w:tab/>
      </w:r>
    </w:p>
    <w:p w:rsidR="00B74680" w:rsidRDefault="00B74680" w:rsidP="00B74680">
      <w:pPr>
        <w:autoSpaceDE w:val="0"/>
        <w:autoSpaceDN w:val="0"/>
        <w:adjustRightInd w:val="0"/>
        <w:spacing w:after="0" w:line="360" w:lineRule="auto"/>
        <w:ind w:firstLine="360"/>
        <w:jc w:val="both"/>
        <w:rPr>
          <w:rFonts w:ascii="Cambria Math" w:hAnsi="Cambria Math" w:cs="Arial"/>
          <w:sz w:val="24"/>
          <w:szCs w:val="24"/>
        </w:rPr>
      </w:pPr>
      <w:r>
        <w:rPr>
          <w:rFonts w:ascii="Cambria Math" w:hAnsi="Cambria Math" w:cs="Arial"/>
          <w:sz w:val="24"/>
          <w:szCs w:val="24"/>
        </w:rPr>
        <w:t>Terdapat 3 pilar terapi pada kasus hiperparatiroid primer, yaitu</w:t>
      </w:r>
      <w:r>
        <w:rPr>
          <w:rFonts w:ascii="Cambria Math" w:hAnsi="Cambria Math" w:cs="Arial"/>
          <w:sz w:val="24"/>
          <w:szCs w:val="24"/>
          <w:vertAlign w:val="superscript"/>
        </w:rPr>
        <w:t>(16)</w:t>
      </w:r>
      <w:r>
        <w:rPr>
          <w:rFonts w:ascii="Cambria Math" w:hAnsi="Cambria Math" w:cs="Arial"/>
          <w:sz w:val="24"/>
          <w:szCs w:val="24"/>
        </w:rPr>
        <w:t>:</w:t>
      </w:r>
    </w:p>
    <w:p w:rsidR="00B74680" w:rsidRDefault="00B74680" w:rsidP="00B74680">
      <w:pPr>
        <w:pStyle w:val="ListParagraph"/>
        <w:numPr>
          <w:ilvl w:val="0"/>
          <w:numId w:val="3"/>
        </w:num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Terapi nonfarmakologis, dengan restriksi kalsium (sekitar 1000 mg/hari) dan vitamin D pada menu diet dan meningkatkan asupan cairan yang cukup</w:t>
      </w:r>
    </w:p>
    <w:p w:rsidR="00B74680" w:rsidRDefault="00B74680" w:rsidP="00B74680">
      <w:pPr>
        <w:pStyle w:val="ListParagraph"/>
        <w:numPr>
          <w:ilvl w:val="0"/>
          <w:numId w:val="3"/>
        </w:num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Medikamentosa diberikan terutama pada pasien yang tidak memenuhi kriteria indikasi bedah, terdiri atas:</w:t>
      </w:r>
    </w:p>
    <w:p w:rsidR="00B74680" w:rsidRPr="0021035A" w:rsidRDefault="00B74680" w:rsidP="00B74680">
      <w:pPr>
        <w:pStyle w:val="ListParagraph"/>
        <w:numPr>
          <w:ilvl w:val="1"/>
          <w:numId w:val="3"/>
        </w:numPr>
        <w:autoSpaceDE w:val="0"/>
        <w:autoSpaceDN w:val="0"/>
        <w:adjustRightInd w:val="0"/>
        <w:spacing w:after="0" w:line="360" w:lineRule="auto"/>
        <w:jc w:val="both"/>
        <w:rPr>
          <w:rFonts w:ascii="Cambria Math" w:hAnsi="Cambria Math" w:cs="Arial"/>
          <w:i/>
          <w:sz w:val="24"/>
          <w:szCs w:val="24"/>
        </w:rPr>
      </w:pPr>
      <w:r w:rsidRPr="0021035A">
        <w:rPr>
          <w:rFonts w:ascii="Cambria Math" w:hAnsi="Cambria Math" w:cs="Arial"/>
          <w:i/>
          <w:sz w:val="24"/>
          <w:szCs w:val="24"/>
        </w:rPr>
        <w:t>Calcitonin</w:t>
      </w:r>
    </w:p>
    <w:p w:rsidR="00B74680" w:rsidRDefault="00B74680" w:rsidP="00B74680">
      <w:pPr>
        <w:pStyle w:val="ListParagraph"/>
        <w:numPr>
          <w:ilvl w:val="1"/>
          <w:numId w:val="3"/>
        </w:num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Biphosphonat, dapat diberikan alendronate 10 mg/hari per oral</w:t>
      </w:r>
    </w:p>
    <w:p w:rsidR="00B74680" w:rsidRDefault="00B74680" w:rsidP="00B74680">
      <w:pPr>
        <w:pStyle w:val="ListParagraph"/>
        <w:numPr>
          <w:ilvl w:val="1"/>
          <w:numId w:val="3"/>
        </w:numPr>
        <w:autoSpaceDE w:val="0"/>
        <w:autoSpaceDN w:val="0"/>
        <w:adjustRightInd w:val="0"/>
        <w:spacing w:after="0" w:line="360" w:lineRule="auto"/>
        <w:jc w:val="both"/>
        <w:rPr>
          <w:rFonts w:ascii="Cambria Math" w:hAnsi="Cambria Math" w:cs="Arial"/>
          <w:sz w:val="24"/>
          <w:szCs w:val="24"/>
        </w:rPr>
      </w:pPr>
      <w:r w:rsidRPr="0021035A">
        <w:rPr>
          <w:rFonts w:ascii="Cambria Math" w:hAnsi="Cambria Math" w:cs="Arial"/>
          <w:i/>
          <w:sz w:val="24"/>
          <w:szCs w:val="24"/>
        </w:rPr>
        <w:t>Kalsimetrik</w:t>
      </w:r>
      <w:r>
        <w:rPr>
          <w:rFonts w:ascii="Cambria Math" w:hAnsi="Cambria Math" w:cs="Arial"/>
          <w:sz w:val="24"/>
          <w:szCs w:val="24"/>
        </w:rPr>
        <w:t>, misalnya dengan cinacelat dengan dosis awal 30 mg/12 jam per oral dan dapat ditingkatkan tiap 2-4 minggu hingga 90 mg/6-8 jam bila diperlukan untuk normalisasi kalsium serum</w:t>
      </w:r>
    </w:p>
    <w:p w:rsidR="00B74680" w:rsidRDefault="00B74680" w:rsidP="00B74680">
      <w:pPr>
        <w:pStyle w:val="ListParagraph"/>
        <w:numPr>
          <w:ilvl w:val="1"/>
          <w:numId w:val="3"/>
        </w:num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Terapi pengganti hormon estrogen atau raloxifene, dapat diberikan 60 mg/hari per oral</w:t>
      </w:r>
    </w:p>
    <w:p w:rsidR="00B74680" w:rsidRDefault="00B74680" w:rsidP="00B74680">
      <w:pPr>
        <w:pStyle w:val="ListParagraph"/>
        <w:numPr>
          <w:ilvl w:val="0"/>
          <w:numId w:val="4"/>
        </w:num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Paratiroidektomi.</w:t>
      </w:r>
    </w:p>
    <w:p w:rsidR="00B74680" w:rsidRPr="00412B45" w:rsidRDefault="00B74680" w:rsidP="00B74680">
      <w:pPr>
        <w:pStyle w:val="ListParagraph"/>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lastRenderedPageBreak/>
        <w:t xml:space="preserve">Indikasi bedah antara lain : pasien berusia di bawah 50 tahun, memiliki kalsium serum &gt; 3.00 mmol/L (beberapa pedoman menyebutkan &gt; 1 mg/dL di atas batas normal), pasien yang tidak memungkinkan atau menginginkan follow up dengan terapi medikamentosa, hiperkalsiuria ( &gt; 400 mg ekskresi per hari), penurunan </w:t>
      </w:r>
      <w:r w:rsidRPr="0021035A">
        <w:rPr>
          <w:rFonts w:ascii="Cambria Math" w:hAnsi="Cambria Math" w:cs="Arial"/>
          <w:i/>
          <w:sz w:val="24"/>
          <w:szCs w:val="24"/>
        </w:rPr>
        <w:t>bone mineral density</w:t>
      </w:r>
      <w:r>
        <w:rPr>
          <w:rFonts w:ascii="Cambria Math" w:hAnsi="Cambria Math" w:cs="Arial"/>
          <w:sz w:val="24"/>
          <w:szCs w:val="24"/>
        </w:rPr>
        <w:t xml:space="preserve"> pada tulang manapun dengan T score kurang dari – 2,5 dan penurunan klirens kreatinin hingga 70%. Kontraindikasi paratiroidektomi adalah </w:t>
      </w:r>
      <w:r w:rsidRPr="0021035A">
        <w:rPr>
          <w:rFonts w:ascii="Cambria Math" w:hAnsi="Cambria Math" w:cs="Arial"/>
          <w:i/>
          <w:sz w:val="24"/>
          <w:szCs w:val="24"/>
        </w:rPr>
        <w:t>familial hypocalciurichypercalcaemia</w:t>
      </w:r>
      <w:r>
        <w:rPr>
          <w:rFonts w:ascii="Cambria Math" w:hAnsi="Cambria Math" w:cs="Arial"/>
          <w:sz w:val="24"/>
          <w:szCs w:val="24"/>
        </w:rPr>
        <w:t>.</w:t>
      </w:r>
    </w:p>
    <w:p w:rsidR="00B74680" w:rsidRDefault="00B74680" w:rsidP="00B74680">
      <w:pPr>
        <w:autoSpaceDE w:val="0"/>
        <w:autoSpaceDN w:val="0"/>
        <w:adjustRightInd w:val="0"/>
        <w:spacing w:after="0" w:line="360" w:lineRule="auto"/>
        <w:jc w:val="both"/>
        <w:rPr>
          <w:rFonts w:ascii="Cambria Math" w:hAnsi="Cambria Math" w:cs="Arial"/>
          <w:sz w:val="24"/>
          <w:szCs w:val="24"/>
        </w:rPr>
      </w:pPr>
    </w:p>
    <w:p w:rsidR="00B74680" w:rsidRDefault="00B74680" w:rsidP="00B74680">
      <w:pPr>
        <w:autoSpaceDE w:val="0"/>
        <w:autoSpaceDN w:val="0"/>
        <w:adjustRightInd w:val="0"/>
        <w:spacing w:after="0" w:line="360" w:lineRule="auto"/>
        <w:ind w:firstLine="720"/>
        <w:jc w:val="both"/>
        <w:rPr>
          <w:rFonts w:ascii="Cambria Math" w:hAnsi="Cambria Math" w:cs="Arial"/>
          <w:sz w:val="24"/>
          <w:szCs w:val="24"/>
        </w:rPr>
      </w:pPr>
      <w:r>
        <w:rPr>
          <w:rFonts w:ascii="Cambria Math" w:hAnsi="Cambria Math" w:cs="Arial"/>
          <w:sz w:val="24"/>
          <w:szCs w:val="24"/>
        </w:rPr>
        <w:t>Pada pasien ini untuk tatalaksana osteoporosis, sudah diberikan terapi biphosphonate dan pemberian kalsium dan vitamin D. Permasalahan pada pasien ini adalah pasien sulit untuk diminta kontrol kembali ke poliklinik sehingga pemberian terapi biphosphonate nya sering tertunda. Permasalahan lain adalah pemeriksaan untuk melihat adanya suatu adenoma pada kelenjar parathyroid, dikarenakan Adenoma kelenjar paratiroid adalah sebesar 80% penyebab terjadinya HPTP, dan 15% disebabkan karena Hiperplasia kelenjar paratiroid difus</w:t>
      </w:r>
      <w:r>
        <w:rPr>
          <w:rFonts w:ascii="Cambria Math" w:hAnsi="Cambria Math" w:cs="Arial"/>
          <w:sz w:val="24"/>
          <w:szCs w:val="24"/>
          <w:vertAlign w:val="superscript"/>
        </w:rPr>
        <w:t>(16)</w:t>
      </w:r>
      <w:r>
        <w:rPr>
          <w:rFonts w:ascii="Cambria Math" w:hAnsi="Cambria Math" w:cs="Arial"/>
          <w:sz w:val="24"/>
          <w:szCs w:val="24"/>
        </w:rPr>
        <w:t xml:space="preserve">. </w:t>
      </w:r>
    </w:p>
    <w:p w:rsidR="00B74680" w:rsidRDefault="00B74680" w:rsidP="00B74680">
      <w:pPr>
        <w:tabs>
          <w:tab w:val="left" w:pos="2040"/>
        </w:tabs>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ab/>
      </w:r>
    </w:p>
    <w:p w:rsidR="00B74680" w:rsidRDefault="00B74680" w:rsidP="00B74680">
      <w:pPr>
        <w:autoSpaceDE w:val="0"/>
        <w:autoSpaceDN w:val="0"/>
        <w:adjustRightInd w:val="0"/>
        <w:spacing w:after="0" w:line="360" w:lineRule="auto"/>
        <w:jc w:val="both"/>
        <w:rPr>
          <w:rFonts w:ascii="Cambria Math" w:hAnsi="Cambria Math" w:cs="Arial"/>
          <w:b/>
          <w:sz w:val="24"/>
          <w:szCs w:val="24"/>
        </w:rPr>
      </w:pPr>
    </w:p>
    <w:p w:rsidR="00B74680" w:rsidRPr="006913F2" w:rsidRDefault="00B74680" w:rsidP="00B74680">
      <w:pPr>
        <w:autoSpaceDE w:val="0"/>
        <w:autoSpaceDN w:val="0"/>
        <w:adjustRightInd w:val="0"/>
        <w:spacing w:after="0" w:line="360" w:lineRule="auto"/>
        <w:jc w:val="both"/>
        <w:rPr>
          <w:rFonts w:ascii="Cambria Math" w:hAnsi="Cambria Math" w:cs="Arial"/>
          <w:b/>
          <w:sz w:val="24"/>
          <w:szCs w:val="24"/>
        </w:rPr>
      </w:pPr>
      <w:r w:rsidRPr="006913F2">
        <w:rPr>
          <w:rFonts w:ascii="Cambria Math" w:hAnsi="Cambria Math" w:cs="Arial"/>
          <w:b/>
          <w:sz w:val="24"/>
          <w:szCs w:val="24"/>
        </w:rPr>
        <w:t>Kesimpulan</w:t>
      </w:r>
    </w:p>
    <w:p w:rsidR="00B74680" w:rsidRDefault="00B74680" w:rsidP="00B74680">
      <w:pPr>
        <w:autoSpaceDE w:val="0"/>
        <w:autoSpaceDN w:val="0"/>
        <w:adjustRightInd w:val="0"/>
        <w:spacing w:after="0" w:line="360" w:lineRule="auto"/>
        <w:jc w:val="both"/>
        <w:rPr>
          <w:rFonts w:ascii="Cambria Math" w:hAnsi="Cambria Math" w:cs="Arial"/>
          <w:sz w:val="24"/>
          <w:szCs w:val="24"/>
        </w:rPr>
      </w:pPr>
      <w:r>
        <w:rPr>
          <w:rFonts w:ascii="Cambria Math" w:hAnsi="Cambria Math" w:cs="Arial"/>
          <w:sz w:val="24"/>
          <w:szCs w:val="24"/>
        </w:rPr>
        <w:t>Telah dilaporkan seorang laki-laki dengan HPTP, normokalsemia dan osteoporosis. Terapi yang saat ini diberikan terhadap pasien adalah untuk tatalaksana osteoporosis.</w:t>
      </w:r>
    </w:p>
    <w:p w:rsidR="00B74680" w:rsidRDefault="00B74680" w:rsidP="00B74680">
      <w:pPr>
        <w:autoSpaceDE w:val="0"/>
        <w:autoSpaceDN w:val="0"/>
        <w:adjustRightInd w:val="0"/>
        <w:spacing w:after="0" w:line="360" w:lineRule="auto"/>
        <w:jc w:val="both"/>
        <w:rPr>
          <w:rFonts w:ascii="Cambria Math" w:hAnsi="Cambria Math" w:cs="Arial"/>
          <w:sz w:val="24"/>
          <w:szCs w:val="24"/>
        </w:rPr>
      </w:pPr>
    </w:p>
    <w:p w:rsidR="00B74680" w:rsidRDefault="00B74680" w:rsidP="003206EF">
      <w:pPr>
        <w:autoSpaceDE w:val="0"/>
        <w:autoSpaceDN w:val="0"/>
        <w:adjustRightInd w:val="0"/>
        <w:spacing w:after="0" w:line="360" w:lineRule="auto"/>
        <w:jc w:val="both"/>
      </w:pPr>
    </w:p>
    <w:p w:rsidR="003206EF" w:rsidRDefault="003206EF" w:rsidP="003206EF">
      <w:pPr>
        <w:autoSpaceDE w:val="0"/>
        <w:autoSpaceDN w:val="0"/>
        <w:adjustRightInd w:val="0"/>
        <w:spacing w:after="0" w:line="360" w:lineRule="auto"/>
        <w:jc w:val="both"/>
        <w:rPr>
          <w:rFonts w:ascii="Cambria Math" w:eastAsia="Calibri" w:hAnsi="Cambria Math" w:cs="Arial"/>
          <w:sz w:val="24"/>
          <w:szCs w:val="24"/>
          <w:lang w:eastAsia="id-ID"/>
        </w:rPr>
      </w:pPr>
    </w:p>
    <w:p w:rsidR="002D429C" w:rsidRDefault="002D429C" w:rsidP="003206EF">
      <w:pPr>
        <w:autoSpaceDE w:val="0"/>
        <w:autoSpaceDN w:val="0"/>
        <w:adjustRightInd w:val="0"/>
        <w:spacing w:after="0" w:line="360" w:lineRule="auto"/>
        <w:jc w:val="both"/>
        <w:rPr>
          <w:rFonts w:ascii="Cambria Math" w:eastAsia="Calibri" w:hAnsi="Cambria Math" w:cs="Arial"/>
          <w:sz w:val="24"/>
          <w:szCs w:val="24"/>
          <w:lang w:eastAsia="id-ID"/>
        </w:rPr>
      </w:pPr>
    </w:p>
    <w:p w:rsidR="002D429C" w:rsidRDefault="002D429C" w:rsidP="003206EF">
      <w:pPr>
        <w:autoSpaceDE w:val="0"/>
        <w:autoSpaceDN w:val="0"/>
        <w:adjustRightInd w:val="0"/>
        <w:spacing w:after="0" w:line="360" w:lineRule="auto"/>
        <w:jc w:val="both"/>
        <w:rPr>
          <w:rFonts w:ascii="Cambria Math" w:eastAsia="Calibri" w:hAnsi="Cambria Math" w:cs="Arial"/>
          <w:sz w:val="24"/>
          <w:szCs w:val="24"/>
          <w:lang w:eastAsia="id-ID"/>
        </w:rPr>
      </w:pPr>
    </w:p>
    <w:p w:rsidR="002D429C" w:rsidRDefault="002D429C" w:rsidP="003206EF">
      <w:pPr>
        <w:autoSpaceDE w:val="0"/>
        <w:autoSpaceDN w:val="0"/>
        <w:adjustRightInd w:val="0"/>
        <w:spacing w:after="0" w:line="360" w:lineRule="auto"/>
        <w:jc w:val="both"/>
        <w:rPr>
          <w:rFonts w:ascii="Cambria Math" w:eastAsia="Calibri" w:hAnsi="Cambria Math" w:cs="Arial"/>
          <w:sz w:val="24"/>
          <w:szCs w:val="24"/>
          <w:lang w:eastAsia="id-ID"/>
        </w:rPr>
      </w:pPr>
    </w:p>
    <w:p w:rsidR="002D429C" w:rsidRDefault="002D429C" w:rsidP="003206EF">
      <w:pPr>
        <w:autoSpaceDE w:val="0"/>
        <w:autoSpaceDN w:val="0"/>
        <w:adjustRightInd w:val="0"/>
        <w:spacing w:after="0" w:line="360" w:lineRule="auto"/>
        <w:jc w:val="both"/>
        <w:rPr>
          <w:rFonts w:ascii="Cambria Math" w:eastAsia="Calibri" w:hAnsi="Cambria Math" w:cs="Arial"/>
          <w:sz w:val="24"/>
          <w:szCs w:val="24"/>
          <w:lang w:eastAsia="id-ID"/>
        </w:rPr>
      </w:pPr>
    </w:p>
    <w:p w:rsidR="002D429C" w:rsidRDefault="002D429C" w:rsidP="003206EF">
      <w:pPr>
        <w:autoSpaceDE w:val="0"/>
        <w:autoSpaceDN w:val="0"/>
        <w:adjustRightInd w:val="0"/>
        <w:spacing w:after="0" w:line="360" w:lineRule="auto"/>
        <w:jc w:val="both"/>
        <w:rPr>
          <w:rFonts w:ascii="Cambria Math" w:eastAsia="Calibri" w:hAnsi="Cambria Math" w:cs="Arial"/>
          <w:sz w:val="24"/>
          <w:szCs w:val="24"/>
          <w:lang w:eastAsia="id-ID"/>
        </w:rPr>
      </w:pPr>
    </w:p>
    <w:p w:rsidR="002D429C" w:rsidRDefault="002D429C" w:rsidP="003206EF">
      <w:pPr>
        <w:autoSpaceDE w:val="0"/>
        <w:autoSpaceDN w:val="0"/>
        <w:adjustRightInd w:val="0"/>
        <w:spacing w:after="0" w:line="360" w:lineRule="auto"/>
        <w:jc w:val="both"/>
        <w:rPr>
          <w:rFonts w:ascii="Cambria Math" w:eastAsia="Calibri" w:hAnsi="Cambria Math" w:cs="Arial"/>
          <w:sz w:val="24"/>
          <w:szCs w:val="24"/>
          <w:lang w:eastAsia="id-ID"/>
        </w:rPr>
      </w:pP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p>
    <w:p w:rsidR="00B74680" w:rsidRDefault="00B74680" w:rsidP="00B74680">
      <w:pPr>
        <w:autoSpaceDE w:val="0"/>
        <w:autoSpaceDN w:val="0"/>
        <w:adjustRightInd w:val="0"/>
        <w:spacing w:after="0" w:line="360" w:lineRule="auto"/>
        <w:ind w:firstLine="720"/>
        <w:jc w:val="both"/>
        <w:rPr>
          <w:rFonts w:ascii="Cambria Math" w:eastAsia="Calibri" w:hAnsi="Cambria Math" w:cs="Arial"/>
          <w:sz w:val="24"/>
          <w:szCs w:val="24"/>
          <w:lang w:eastAsia="id-ID"/>
        </w:rPr>
      </w:pPr>
    </w:p>
    <w:p w:rsidR="00B74680" w:rsidRPr="00AA7338" w:rsidRDefault="00B74680" w:rsidP="00B74680">
      <w:pPr>
        <w:autoSpaceDE w:val="0"/>
        <w:autoSpaceDN w:val="0"/>
        <w:adjustRightInd w:val="0"/>
        <w:spacing w:after="0" w:line="360" w:lineRule="auto"/>
        <w:jc w:val="center"/>
        <w:rPr>
          <w:rFonts w:ascii="Cambria Math" w:eastAsia="Calibri" w:hAnsi="Cambria Math" w:cs="Arial"/>
          <w:sz w:val="24"/>
          <w:szCs w:val="24"/>
          <w:lang w:eastAsia="id-ID"/>
        </w:rPr>
      </w:pPr>
      <w:r w:rsidRPr="00D715F7">
        <w:rPr>
          <w:rFonts w:ascii="Cambria Math" w:eastAsia="Calibri" w:hAnsi="Cambria Math" w:cs="Arial"/>
          <w:b/>
          <w:sz w:val="24"/>
          <w:szCs w:val="24"/>
          <w:lang w:eastAsia="id-ID"/>
        </w:rPr>
        <w:lastRenderedPageBreak/>
        <w:t>Daftar Pustaka</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Cusano NE, Silverberg SJ, Bilezikian JP. Normocalcemic primary hyperparathyroidism. J Clin Densitom. 2013;16(1): 33-39</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Chen G, Xue Y, Zhang Q, Xue T, Yao J, et al. Is normocalcemic primary hyperparathyroidism harmful or harmless?. J Clin Endocrinol Metab. 2015; 100(6):2420-2424</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Corbetta S. Normocalcemic hyperparathyroidism. Front Horm Res. 2019(51):23-29</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Bilezikian JP, Silverberg SJ. Normocalcemic primary hyperparathyroidism. Arq Bras Endocrinol Metabol. 2010;54(2): 106-109</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Silverberg SJ, Shane E, Dempster DW, Bilezikian JP. The effects of vitamin D insufficiency in patients with p-rimary hyperparathyroidism. Am J Med. 1999;107:561-567</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Hannan FM, Fairney A, Johnston DG. Vitamin D deficiency masking primary hyperparathyroidism. Ann Clin Biochem. 2004; 41: 405-407</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Battista C, Guarnieri V, Carnevale V, Baorda F, Pileri M, et al. Vitamin D status in primary hyperparathyroidism: effect of genetic background. Endocrine. 2016. doi:10.1007/s12020-016-0974-x</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 xml:space="preserve"> Clements MR, Davies M, Hayes ME, Hickey CD, Lumb GA, Mawer B, Adams PH. The role of 1,25-dihydroxyvitamin D in the mechanism of acquired vitamin D deficiency. Clinical Endocrinology. 1982; 37: 17-27</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Clements MR, Davies M, Fraser DR,  Lumb GA, Mawer B, Adams PH. Metabolic inactivation of vitamin D is enhanced in primary hyperparathyroidism. Clinical science. 1987:73: 659-664</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Hunter D, De Lange M, Snieder H, MacGregor AJ, Swaminathan R, et al. Genetic contribution to bone metabolism, calcium excretion and vitamin D and parathyroid hormone regulation. Journal of Bone and Mineral Research. 2001;16(2):371-378</w:t>
      </w:r>
    </w:p>
    <w:p w:rsidR="00B74680" w:rsidRPr="003F7D46" w:rsidRDefault="00B74680" w:rsidP="00B74680">
      <w:pPr>
        <w:pStyle w:val="ListParagraph"/>
        <w:numPr>
          <w:ilvl w:val="0"/>
          <w:numId w:val="2"/>
        </w:numPr>
        <w:rPr>
          <w:rFonts w:ascii="Cambria Math" w:eastAsia="Calibri" w:hAnsi="Cambria Math" w:cs="Arial"/>
          <w:sz w:val="24"/>
          <w:szCs w:val="24"/>
          <w:lang w:eastAsia="id-ID"/>
        </w:rPr>
      </w:pPr>
      <w:r w:rsidRPr="003F7D46">
        <w:rPr>
          <w:rFonts w:ascii="Cambria Math" w:eastAsia="Calibri" w:hAnsi="Cambria Math" w:cs="Arial"/>
          <w:sz w:val="24"/>
          <w:szCs w:val="24"/>
          <w:lang w:eastAsia="id-ID"/>
        </w:rPr>
        <w:t>: Martin T, Campbell K. Vitamin D and Diabetes. Diabetes Spectrum 24:113-118, 2011)</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lastRenderedPageBreak/>
        <w:t>Monchik JM, Gorgun E. Normocalcemic hyperparathyroidism in patients with osteoporosis. Surgery. 2004;136: 1242-6</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Tucci JR. Normocalcemic primary hyperparathyroidism associated with progressive cortical bone loss- A case report. Bone Reports. 2017;7:152-155</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Mazzuoli GF, D’Erasmo E, Pisani D. Primary hyperparathyroidism and osteoporosis. Aging Clin Exp Res. 1998;10:225-231</w:t>
      </w:r>
    </w:p>
    <w:p w:rsidR="00B7468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Madison DL. Osteoporosis in primary hyperparathyroidism : consideration for diagnosis and treatment. In: Medical and surgical treatment of parathyroid diseases. Stack Jr BC. Bodenner DI(eds). Springer International Publishing. Switzerland. 2017. pp: 343-358</w:t>
      </w:r>
    </w:p>
    <w:p w:rsidR="00B74680" w:rsidRPr="00923100" w:rsidRDefault="00B74680" w:rsidP="00B74680">
      <w:pPr>
        <w:pStyle w:val="ListParagraph"/>
        <w:numPr>
          <w:ilvl w:val="0"/>
          <w:numId w:val="2"/>
        </w:numPr>
        <w:autoSpaceDE w:val="0"/>
        <w:autoSpaceDN w:val="0"/>
        <w:adjustRightInd w:val="0"/>
        <w:spacing w:after="0" w:line="360" w:lineRule="auto"/>
        <w:jc w:val="both"/>
        <w:rPr>
          <w:rFonts w:ascii="Cambria Math" w:eastAsia="Calibri" w:hAnsi="Cambria Math" w:cs="Arial"/>
          <w:sz w:val="24"/>
          <w:szCs w:val="24"/>
          <w:lang w:eastAsia="id-ID"/>
        </w:rPr>
      </w:pPr>
      <w:r>
        <w:rPr>
          <w:rFonts w:ascii="Cambria Math" w:eastAsia="Calibri" w:hAnsi="Cambria Math" w:cs="Arial"/>
          <w:sz w:val="24"/>
          <w:szCs w:val="24"/>
          <w:lang w:eastAsia="id-ID"/>
        </w:rPr>
        <w:t xml:space="preserve">Trianto H. Hiperparatiroid dan hipoparatiroid. In: </w:t>
      </w:r>
      <w:r w:rsidRPr="00C47DB6">
        <w:rPr>
          <w:rFonts w:ascii="Cambria Math" w:eastAsia="Calibri" w:hAnsi="Cambria Math" w:cs="Arial"/>
          <w:i/>
          <w:sz w:val="24"/>
          <w:szCs w:val="24"/>
          <w:lang w:eastAsia="id-ID"/>
        </w:rPr>
        <w:t>Crash course</w:t>
      </w:r>
      <w:r>
        <w:rPr>
          <w:rFonts w:ascii="Cambria Math" w:eastAsia="Calibri" w:hAnsi="Cambria Math" w:cs="Arial"/>
          <w:sz w:val="24"/>
          <w:szCs w:val="24"/>
          <w:lang w:eastAsia="id-ID"/>
        </w:rPr>
        <w:t xml:space="preserve"> sistem endokrin, metabolisme dan nutrisi. Rudijanto A. Rosandi R(eds). Elsevier. 2019</w:t>
      </w:r>
    </w:p>
    <w:p w:rsidR="00A90AA5" w:rsidRDefault="00A90AA5"/>
    <w:sectPr w:rsidR="00A90AA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AF" w:rsidRDefault="009D41AF">
      <w:pPr>
        <w:spacing w:after="0" w:line="240" w:lineRule="auto"/>
      </w:pPr>
      <w:r>
        <w:separator/>
      </w:r>
    </w:p>
  </w:endnote>
  <w:endnote w:type="continuationSeparator" w:id="0">
    <w:p w:rsidR="009D41AF" w:rsidRDefault="009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727838"/>
      <w:docPartObj>
        <w:docPartGallery w:val="Page Numbers (Bottom of Page)"/>
        <w:docPartUnique/>
      </w:docPartObj>
    </w:sdtPr>
    <w:sdtEndPr>
      <w:rPr>
        <w:noProof/>
      </w:rPr>
    </w:sdtEndPr>
    <w:sdtContent>
      <w:p w:rsidR="0034478B" w:rsidRDefault="002D429C">
        <w:pPr>
          <w:pStyle w:val="Footer"/>
          <w:jc w:val="right"/>
        </w:pPr>
        <w:r>
          <w:fldChar w:fldCharType="begin"/>
        </w:r>
        <w:r>
          <w:instrText xml:space="preserve"> PAGE   \* MERGEFORMAT </w:instrText>
        </w:r>
        <w:r>
          <w:fldChar w:fldCharType="separate"/>
        </w:r>
        <w:r w:rsidR="0041531B">
          <w:rPr>
            <w:noProof/>
          </w:rPr>
          <w:t>1</w:t>
        </w:r>
        <w:r>
          <w:rPr>
            <w:noProof/>
          </w:rPr>
          <w:fldChar w:fldCharType="end"/>
        </w:r>
      </w:p>
    </w:sdtContent>
  </w:sdt>
  <w:p w:rsidR="0034478B" w:rsidRDefault="009D41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AF" w:rsidRDefault="009D41AF">
      <w:pPr>
        <w:spacing w:after="0" w:line="240" w:lineRule="auto"/>
      </w:pPr>
      <w:r>
        <w:separator/>
      </w:r>
    </w:p>
  </w:footnote>
  <w:footnote w:type="continuationSeparator" w:id="0">
    <w:p w:rsidR="009D41AF" w:rsidRDefault="009D4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2C1"/>
    <w:multiLevelType w:val="hybridMultilevel"/>
    <w:tmpl w:val="CF245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2569"/>
    <w:multiLevelType w:val="hybridMultilevel"/>
    <w:tmpl w:val="BE147502"/>
    <w:lvl w:ilvl="0" w:tplc="C3820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D63B69"/>
    <w:multiLevelType w:val="hybridMultilevel"/>
    <w:tmpl w:val="E9B4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9424A"/>
    <w:multiLevelType w:val="hybridMultilevel"/>
    <w:tmpl w:val="88A0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FB"/>
    <w:rsid w:val="000A269D"/>
    <w:rsid w:val="002D429C"/>
    <w:rsid w:val="003206EF"/>
    <w:rsid w:val="0041531B"/>
    <w:rsid w:val="00563EAA"/>
    <w:rsid w:val="009546FC"/>
    <w:rsid w:val="009D41AF"/>
    <w:rsid w:val="00A90AA5"/>
    <w:rsid w:val="00B74680"/>
    <w:rsid w:val="00CA72AA"/>
    <w:rsid w:val="00E0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2961D-22B6-45B9-B34C-04455B50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80"/>
    <w:pPr>
      <w:ind w:left="720"/>
      <w:contextualSpacing/>
    </w:pPr>
  </w:style>
  <w:style w:type="paragraph" w:styleId="Footer">
    <w:name w:val="footer"/>
    <w:basedOn w:val="Normal"/>
    <w:link w:val="FooterChar"/>
    <w:uiPriority w:val="99"/>
    <w:unhideWhenUsed/>
    <w:rsid w:val="00B7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80"/>
  </w:style>
  <w:style w:type="table" w:styleId="TableGrid">
    <w:name w:val="Table Grid"/>
    <w:basedOn w:val="TableNormal"/>
    <w:uiPriority w:val="59"/>
    <w:rsid w:val="00B74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680"/>
    <w:rPr>
      <w:rFonts w:ascii="Tahoma" w:hAnsi="Tahoma" w:cs="Tahoma"/>
      <w:sz w:val="16"/>
      <w:szCs w:val="16"/>
    </w:rPr>
  </w:style>
  <w:style w:type="paragraph" w:styleId="NoSpacing">
    <w:name w:val="No Spacing"/>
    <w:uiPriority w:val="1"/>
    <w:qFormat/>
    <w:rsid w:val="000A2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2019-07-29T08:42:00Z</dcterms:created>
  <dcterms:modified xsi:type="dcterms:W3CDTF">2019-07-29T08:42:00Z</dcterms:modified>
</cp:coreProperties>
</file>